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0D58D">
      <w:pPr>
        <w:spacing w:line="360" w:lineRule="auto"/>
        <w:rPr>
          <w:rFonts w:ascii="仿宋" w:hAnsi="仿宋" w:eastAsia="仿宋" w:cs="仿宋"/>
          <w:bCs/>
          <w:sz w:val="32"/>
          <w:szCs w:val="28"/>
        </w:rPr>
      </w:pPr>
      <w:r>
        <w:rPr>
          <w:rFonts w:hint="eastAsia" w:ascii="仿宋" w:hAnsi="仿宋" w:eastAsia="仿宋" w:cs="仿宋"/>
          <w:sz w:val="32"/>
          <w:szCs w:val="28"/>
        </w:rPr>
        <w:t>附件</w:t>
      </w:r>
      <w:r>
        <w:rPr>
          <w:rFonts w:ascii="Times New Roman" w:hAnsi="Times New Roman" w:eastAsia="仿宋" w:cs="Times New Roman"/>
          <w:sz w:val="32"/>
          <w:szCs w:val="28"/>
        </w:rPr>
        <w:t>1</w:t>
      </w:r>
      <w:r>
        <w:rPr>
          <w:rFonts w:hint="eastAsia" w:ascii="仿宋" w:hAnsi="仿宋" w:eastAsia="仿宋" w:cs="仿宋"/>
          <w:sz w:val="32"/>
          <w:szCs w:val="28"/>
        </w:rPr>
        <w:t>：</w:t>
      </w:r>
    </w:p>
    <w:p w14:paraId="181D6A4D">
      <w:pPr>
        <w:pStyle w:val="2"/>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工程技术学院研究生学业奖学金评审工作实施细则</w:t>
      </w:r>
    </w:p>
    <w:p w14:paraId="4A0C3CA9">
      <w:pPr>
        <w:spacing w:line="360" w:lineRule="auto"/>
        <w:jc w:val="center"/>
        <w:rPr>
          <w:rFonts w:ascii="黑体" w:hAnsi="黑体" w:eastAsia="黑体" w:cs="仿宋"/>
          <w:sz w:val="32"/>
          <w:szCs w:val="32"/>
        </w:rPr>
      </w:pPr>
      <w:r>
        <w:rPr>
          <w:rFonts w:hint="eastAsia" w:ascii="黑体" w:hAnsi="黑体" w:eastAsia="黑体" w:cs="仿宋"/>
          <w:sz w:val="32"/>
          <w:szCs w:val="32"/>
        </w:rPr>
        <w:t>第一章  总  则</w:t>
      </w:r>
    </w:p>
    <w:p w14:paraId="52800E70">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第一条 </w:t>
      </w:r>
      <w:r>
        <w:rPr>
          <w:rFonts w:hint="eastAsia" w:ascii="仿宋_GB2312" w:hAnsi="仿宋" w:eastAsia="仿宋_GB2312" w:cs="仿宋"/>
          <w:sz w:val="32"/>
          <w:szCs w:val="32"/>
        </w:rPr>
        <w:t>根据《中国地质大学（北京）研究生学业奖助学金管理办法》（中地大京发〔2018〕3号）、《中国地质大学（北京）研究生学业奖助学金管理办法》（中地大京发〔2021〕64号）文件精神，为规范研究生学业奖学金的评审工作，保证公开、公平、公正、择优的原则，结合学院实际，特制定本实施细则。</w:t>
      </w:r>
    </w:p>
    <w:p w14:paraId="15B6BFDF">
      <w:pPr>
        <w:spacing w:line="360" w:lineRule="auto"/>
        <w:jc w:val="center"/>
        <w:rPr>
          <w:rFonts w:ascii="黑体" w:hAnsi="黑体" w:eastAsia="黑体" w:cs="仿宋"/>
          <w:sz w:val="32"/>
          <w:szCs w:val="32"/>
        </w:rPr>
      </w:pPr>
      <w:r>
        <w:rPr>
          <w:rFonts w:hint="eastAsia" w:ascii="黑体" w:hAnsi="黑体" w:eastAsia="黑体" w:cs="仿宋"/>
          <w:sz w:val="32"/>
          <w:szCs w:val="32"/>
        </w:rPr>
        <w:t>第二章  奖学金标准与评选条件</w:t>
      </w:r>
    </w:p>
    <w:p w14:paraId="35FCAFE2">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 xml:space="preserve">第二条 </w:t>
      </w:r>
      <w:r>
        <w:rPr>
          <w:rFonts w:hint="eastAsia" w:ascii="仿宋_GB2312" w:hAnsi="仿宋" w:eastAsia="仿宋_GB2312" w:cs="仿宋"/>
          <w:sz w:val="32"/>
          <w:szCs w:val="32"/>
        </w:rPr>
        <w:t>研究生学业奖学金的资助标准</w:t>
      </w:r>
    </w:p>
    <w:p w14:paraId="1EEB980B">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（一）2022年秋季学期（不含）以前入学的研究生：</w:t>
      </w:r>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52"/>
        <w:gridCol w:w="808"/>
        <w:gridCol w:w="1640"/>
        <w:gridCol w:w="1134"/>
        <w:gridCol w:w="3260"/>
      </w:tblGrid>
      <w:tr w14:paraId="2B34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0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5FB2EC1">
            <w:pPr>
              <w:spacing w:line="360" w:lineRule="auto"/>
              <w:jc w:val="center"/>
              <w:rPr>
                <w:rFonts w:ascii="仿宋_GB2312" w:hAnsi="仿宋" w:eastAsia="仿宋_GB2312" w:cs="仿宋"/>
                <w:sz w:val="24"/>
              </w:rPr>
            </w:pPr>
            <w:r>
              <w:rPr>
                <w:rFonts w:hint="eastAsia" w:ascii="仿宋_GB2312" w:hAnsi="仿宋" w:eastAsia="仿宋_GB2312" w:cs="仿宋"/>
                <w:sz w:val="24"/>
              </w:rPr>
              <w:t>学生类别</w:t>
            </w:r>
          </w:p>
        </w:tc>
        <w:tc>
          <w:tcPr>
            <w:tcW w:w="244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10AAAFC">
            <w:pPr>
              <w:spacing w:line="360" w:lineRule="auto"/>
              <w:jc w:val="center"/>
              <w:rPr>
                <w:rFonts w:ascii="仿宋_GB2312" w:hAnsi="仿宋" w:eastAsia="仿宋_GB2312" w:cs="仿宋"/>
                <w:sz w:val="24"/>
              </w:rPr>
            </w:pPr>
            <w:r>
              <w:rPr>
                <w:rFonts w:hint="eastAsia" w:ascii="仿宋_GB2312" w:hAnsi="仿宋" w:eastAsia="仿宋_GB2312" w:cs="仿宋"/>
                <w:sz w:val="24"/>
              </w:rPr>
              <w:t>学业奖学金（元/年）</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01BD101">
            <w:pPr>
              <w:spacing w:line="360" w:lineRule="auto"/>
              <w:jc w:val="center"/>
              <w:rPr>
                <w:rFonts w:ascii="仿宋_GB2312" w:hAnsi="仿宋" w:eastAsia="仿宋_GB2312" w:cs="仿宋"/>
                <w:sz w:val="24"/>
              </w:rPr>
            </w:pPr>
            <w:r>
              <w:rPr>
                <w:rFonts w:hint="eastAsia" w:ascii="仿宋_GB2312" w:hAnsi="仿宋" w:eastAsia="仿宋_GB2312" w:cs="仿宋"/>
                <w:sz w:val="24"/>
              </w:rPr>
              <w:t>设置比例</w:t>
            </w:r>
          </w:p>
        </w:tc>
        <w:tc>
          <w:tcPr>
            <w:tcW w:w="32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1C1755A">
            <w:pPr>
              <w:spacing w:line="360" w:lineRule="auto"/>
              <w:jc w:val="center"/>
              <w:rPr>
                <w:rFonts w:ascii="仿宋_GB2312" w:hAnsi="仿宋" w:eastAsia="仿宋_GB2312" w:cs="仿宋"/>
                <w:sz w:val="24"/>
              </w:rPr>
            </w:pPr>
            <w:r>
              <w:rPr>
                <w:rFonts w:hint="eastAsia" w:ascii="仿宋_GB2312" w:hAnsi="仿宋" w:eastAsia="仿宋_GB2312" w:cs="仿宋"/>
                <w:sz w:val="24"/>
              </w:rPr>
              <w:t>备  注</w:t>
            </w:r>
          </w:p>
        </w:tc>
      </w:tr>
      <w:tr w14:paraId="77DF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8" w:type="dxa"/>
            <w:vMerge w:val="restart"/>
            <w:tcBorders>
              <w:left w:val="single" w:color="auto" w:sz="4" w:space="0"/>
              <w:right w:val="single" w:color="auto" w:sz="4" w:space="0"/>
            </w:tcBorders>
            <w:tcMar>
              <w:left w:w="28" w:type="dxa"/>
              <w:right w:w="28" w:type="dxa"/>
            </w:tcMar>
            <w:vAlign w:val="center"/>
          </w:tcPr>
          <w:p w14:paraId="1525B184">
            <w:pPr>
              <w:spacing w:line="360" w:lineRule="auto"/>
              <w:jc w:val="center"/>
              <w:rPr>
                <w:rFonts w:ascii="仿宋_GB2312" w:hAnsi="仿宋" w:eastAsia="仿宋_GB2312" w:cs="仿宋"/>
                <w:sz w:val="24"/>
              </w:rPr>
            </w:pPr>
            <w:r>
              <w:rPr>
                <w:rFonts w:hint="eastAsia" w:ascii="仿宋_GB2312" w:hAnsi="仿宋" w:eastAsia="仿宋_GB2312" w:cs="仿宋"/>
                <w:sz w:val="24"/>
              </w:rPr>
              <w:t>硕士生</w:t>
            </w:r>
          </w:p>
        </w:tc>
        <w:tc>
          <w:tcPr>
            <w:tcW w:w="1352"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217DD2F">
            <w:pPr>
              <w:spacing w:line="360" w:lineRule="auto"/>
              <w:jc w:val="center"/>
              <w:rPr>
                <w:rFonts w:ascii="仿宋_GB2312" w:hAnsi="仿宋" w:eastAsia="仿宋_GB2312" w:cs="仿宋"/>
                <w:sz w:val="24"/>
              </w:rPr>
            </w:pPr>
            <w:r>
              <w:rPr>
                <w:rFonts w:hint="eastAsia" w:ascii="仿宋_GB2312" w:hAnsi="仿宋" w:eastAsia="仿宋_GB2312" w:cs="仿宋"/>
                <w:sz w:val="24"/>
              </w:rPr>
              <w:t>一年级</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88D31CF">
            <w:pPr>
              <w:spacing w:line="360" w:lineRule="auto"/>
              <w:jc w:val="center"/>
              <w:rPr>
                <w:rFonts w:ascii="仿宋_GB2312" w:hAnsi="仿宋" w:eastAsia="仿宋_GB2312" w:cs="仿宋"/>
                <w:sz w:val="24"/>
              </w:rPr>
            </w:pPr>
            <w:r>
              <w:rPr>
                <w:rFonts w:hint="eastAsia" w:ascii="仿宋_GB2312" w:hAnsi="仿宋" w:eastAsia="仿宋_GB2312" w:cs="仿宋"/>
                <w:sz w:val="24"/>
              </w:rPr>
              <w:t>推免生</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BBCB4F4">
            <w:pPr>
              <w:spacing w:line="36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right w:val="single" w:color="auto" w:sz="4" w:space="0"/>
            </w:tcBorders>
            <w:tcMar>
              <w:left w:w="28" w:type="dxa"/>
              <w:right w:w="28" w:type="dxa"/>
            </w:tcMar>
            <w:vAlign w:val="center"/>
          </w:tcPr>
          <w:p w14:paraId="4176DDEA">
            <w:pPr>
              <w:spacing w:line="360" w:lineRule="auto"/>
              <w:jc w:val="center"/>
              <w:rPr>
                <w:rFonts w:ascii="仿宋_GB2312" w:hAnsi="仿宋" w:eastAsia="仿宋_GB2312" w:cs="仿宋"/>
                <w:sz w:val="24"/>
              </w:rPr>
            </w:pPr>
            <w:r>
              <w:rPr>
                <w:rFonts w:hint="eastAsia" w:ascii="仿宋_GB2312" w:hAnsi="仿宋" w:eastAsia="仿宋_GB2312" w:cs="仿宋"/>
                <w:sz w:val="24"/>
              </w:rPr>
              <w:t>100%</w:t>
            </w:r>
          </w:p>
        </w:tc>
        <w:tc>
          <w:tcPr>
            <w:tcW w:w="3260" w:type="dxa"/>
            <w:vMerge w:val="restart"/>
            <w:tcBorders>
              <w:top w:val="single" w:color="auto" w:sz="4" w:space="0"/>
              <w:left w:val="single" w:color="auto" w:sz="4" w:space="0"/>
              <w:right w:val="single" w:color="auto" w:sz="4" w:space="0"/>
            </w:tcBorders>
            <w:tcMar>
              <w:left w:w="28" w:type="dxa"/>
              <w:right w:w="28" w:type="dxa"/>
            </w:tcMar>
            <w:vAlign w:val="center"/>
          </w:tcPr>
          <w:p w14:paraId="082C3BCB">
            <w:pPr>
              <w:spacing w:line="360" w:lineRule="auto"/>
              <w:jc w:val="center"/>
              <w:rPr>
                <w:rFonts w:ascii="仿宋_GB2312" w:hAnsi="仿宋" w:eastAsia="仿宋_GB2312" w:cs="仿宋"/>
                <w:sz w:val="24"/>
              </w:rPr>
            </w:pPr>
            <w:r>
              <w:rPr>
                <w:rFonts w:hint="eastAsia" w:ascii="仿宋_GB2312" w:hAnsi="仿宋" w:eastAsia="仿宋_GB2312" w:cs="仿宋"/>
                <w:sz w:val="24"/>
              </w:rPr>
              <w:t>1、全体全日制非定向硕士生及少数民族骨干计划定向研究生。</w:t>
            </w:r>
          </w:p>
          <w:p w14:paraId="23FE8FCC">
            <w:pPr>
              <w:spacing w:line="360" w:lineRule="auto"/>
              <w:jc w:val="center"/>
              <w:rPr>
                <w:rFonts w:ascii="仿宋_GB2312" w:hAnsi="仿宋" w:eastAsia="仿宋_GB2312" w:cs="仿宋"/>
                <w:sz w:val="24"/>
              </w:rPr>
            </w:pPr>
            <w:r>
              <w:rPr>
                <w:rFonts w:hint="eastAsia" w:ascii="仿宋_GB2312" w:hAnsi="仿宋" w:eastAsia="仿宋_GB2312" w:cs="仿宋"/>
                <w:sz w:val="24"/>
              </w:rPr>
              <w:t>2、设置比例以具有参评基本条件的人员为基数。</w:t>
            </w:r>
          </w:p>
        </w:tc>
      </w:tr>
      <w:tr w14:paraId="425E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tcBorders>
              <w:left w:val="single" w:color="auto" w:sz="4" w:space="0"/>
              <w:right w:val="single" w:color="auto" w:sz="4" w:space="0"/>
            </w:tcBorders>
            <w:tcMar>
              <w:left w:w="28" w:type="dxa"/>
              <w:right w:w="28" w:type="dxa"/>
            </w:tcMar>
            <w:vAlign w:val="center"/>
          </w:tcPr>
          <w:p w14:paraId="4CFFFC55">
            <w:pPr>
              <w:spacing w:line="36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3801F20">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536C4B9">
            <w:pPr>
              <w:spacing w:line="360" w:lineRule="auto"/>
              <w:jc w:val="center"/>
              <w:rPr>
                <w:rFonts w:ascii="仿宋_GB2312" w:hAnsi="仿宋" w:eastAsia="仿宋_GB2312" w:cs="仿宋"/>
                <w:sz w:val="24"/>
              </w:rPr>
            </w:pPr>
            <w:r>
              <w:rPr>
                <w:rFonts w:hint="eastAsia" w:ascii="仿宋_GB2312" w:hAnsi="仿宋" w:eastAsia="仿宋_GB2312" w:cs="仿宋"/>
                <w:sz w:val="24"/>
              </w:rPr>
              <w:t>其他</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25CC98">
            <w:pPr>
              <w:spacing w:line="360" w:lineRule="auto"/>
              <w:jc w:val="center"/>
              <w:rPr>
                <w:rFonts w:ascii="仿宋_GB2312" w:hAnsi="仿宋" w:eastAsia="仿宋_GB2312" w:cs="仿宋"/>
                <w:sz w:val="24"/>
              </w:rPr>
            </w:pPr>
            <w:r>
              <w:rPr>
                <w:rFonts w:hint="eastAsia" w:ascii="仿宋_GB2312" w:hAnsi="仿宋" w:eastAsia="仿宋_GB2312" w:cs="仿宋"/>
                <w:sz w:val="24"/>
              </w:rPr>
              <w:t>8000</w:t>
            </w:r>
          </w:p>
        </w:tc>
        <w:tc>
          <w:tcPr>
            <w:tcW w:w="1134" w:type="dxa"/>
            <w:tcBorders>
              <w:left w:val="single" w:color="auto" w:sz="4" w:space="0"/>
              <w:bottom w:val="single" w:color="auto" w:sz="4" w:space="0"/>
              <w:right w:val="single" w:color="auto" w:sz="4" w:space="0"/>
            </w:tcBorders>
            <w:tcMar>
              <w:left w:w="28" w:type="dxa"/>
              <w:right w:w="28" w:type="dxa"/>
            </w:tcMar>
            <w:vAlign w:val="center"/>
          </w:tcPr>
          <w:p w14:paraId="72269F75">
            <w:pPr>
              <w:spacing w:line="360" w:lineRule="auto"/>
              <w:jc w:val="center"/>
              <w:rPr>
                <w:rFonts w:ascii="仿宋_GB2312" w:hAnsi="仿宋" w:eastAsia="仿宋_GB2312" w:cs="仿宋"/>
                <w:sz w:val="24"/>
              </w:rPr>
            </w:pPr>
            <w:r>
              <w:rPr>
                <w:rFonts w:hint="eastAsia" w:ascii="仿宋_GB2312" w:hAnsi="仿宋" w:eastAsia="仿宋_GB2312" w:cs="仿宋"/>
                <w:sz w:val="24"/>
              </w:rPr>
              <w:t>100%</w:t>
            </w:r>
          </w:p>
        </w:tc>
        <w:tc>
          <w:tcPr>
            <w:tcW w:w="3260" w:type="dxa"/>
            <w:vMerge w:val="continue"/>
            <w:tcBorders>
              <w:left w:val="single" w:color="auto" w:sz="4" w:space="0"/>
              <w:right w:val="single" w:color="auto" w:sz="4" w:space="0"/>
            </w:tcBorders>
            <w:tcMar>
              <w:left w:w="28" w:type="dxa"/>
              <w:right w:w="28" w:type="dxa"/>
            </w:tcMar>
            <w:vAlign w:val="center"/>
          </w:tcPr>
          <w:p w14:paraId="4EC04D34">
            <w:pPr>
              <w:spacing w:line="360" w:lineRule="auto"/>
              <w:jc w:val="center"/>
              <w:rPr>
                <w:rFonts w:ascii="仿宋_GB2312" w:hAnsi="仿宋" w:eastAsia="仿宋_GB2312" w:cs="仿宋"/>
                <w:sz w:val="24"/>
              </w:rPr>
            </w:pPr>
          </w:p>
        </w:tc>
      </w:tr>
      <w:tr w14:paraId="2419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48" w:type="dxa"/>
            <w:vMerge w:val="continue"/>
            <w:tcBorders>
              <w:left w:val="single" w:color="auto" w:sz="4" w:space="0"/>
              <w:right w:val="single" w:color="auto" w:sz="4" w:space="0"/>
            </w:tcBorders>
            <w:tcMar>
              <w:left w:w="28" w:type="dxa"/>
              <w:right w:w="28" w:type="dxa"/>
            </w:tcMar>
            <w:vAlign w:val="center"/>
          </w:tcPr>
          <w:p w14:paraId="4542C4AC">
            <w:pPr>
              <w:spacing w:line="36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2D7FCC15">
            <w:pPr>
              <w:spacing w:line="360" w:lineRule="auto"/>
              <w:jc w:val="center"/>
              <w:rPr>
                <w:rFonts w:ascii="仿宋_GB2312" w:hAnsi="仿宋" w:eastAsia="仿宋_GB2312" w:cs="仿宋"/>
                <w:sz w:val="24"/>
              </w:rPr>
            </w:pPr>
            <w:r>
              <w:rPr>
                <w:rFonts w:hint="eastAsia" w:ascii="仿宋_GB2312" w:hAnsi="仿宋" w:eastAsia="仿宋_GB2312" w:cs="仿宋"/>
                <w:sz w:val="24"/>
              </w:rPr>
              <w:t>二、三年级</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AC5140D">
            <w:pPr>
              <w:spacing w:line="360" w:lineRule="auto"/>
              <w:jc w:val="center"/>
              <w:rPr>
                <w:rFonts w:ascii="仿宋_GB2312" w:hAnsi="仿宋" w:eastAsia="仿宋_GB2312" w:cs="仿宋"/>
                <w:sz w:val="24"/>
              </w:rPr>
            </w:pPr>
            <w:r>
              <w:rPr>
                <w:rFonts w:hint="eastAsia" w:ascii="仿宋_GB2312" w:hAnsi="仿宋" w:eastAsia="仿宋_GB2312" w:cs="仿宋"/>
                <w:sz w:val="24"/>
              </w:rPr>
              <w:t>推免生</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59F0912">
            <w:pPr>
              <w:spacing w:line="36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2BC2EC">
            <w:pPr>
              <w:spacing w:line="360" w:lineRule="auto"/>
              <w:jc w:val="center"/>
              <w:rPr>
                <w:rFonts w:ascii="仿宋_GB2312" w:hAnsi="仿宋" w:eastAsia="仿宋_GB2312" w:cs="仿宋"/>
                <w:sz w:val="24"/>
              </w:rPr>
            </w:pPr>
            <w:r>
              <w:rPr>
                <w:rFonts w:hint="eastAsia" w:ascii="仿宋_GB2312" w:hAnsi="仿宋" w:eastAsia="仿宋_GB2312" w:cs="仿宋"/>
                <w:sz w:val="24"/>
              </w:rPr>
              <w:t>100%</w:t>
            </w:r>
          </w:p>
        </w:tc>
        <w:tc>
          <w:tcPr>
            <w:tcW w:w="3260" w:type="dxa"/>
            <w:vMerge w:val="continue"/>
            <w:tcBorders>
              <w:left w:val="single" w:color="auto" w:sz="4" w:space="0"/>
              <w:right w:val="single" w:color="auto" w:sz="4" w:space="0"/>
            </w:tcBorders>
            <w:tcMar>
              <w:left w:w="28" w:type="dxa"/>
              <w:right w:w="28" w:type="dxa"/>
            </w:tcMar>
            <w:vAlign w:val="center"/>
          </w:tcPr>
          <w:p w14:paraId="56E180DE">
            <w:pPr>
              <w:spacing w:line="360" w:lineRule="auto"/>
              <w:jc w:val="center"/>
              <w:rPr>
                <w:rFonts w:ascii="仿宋_GB2312" w:hAnsi="仿宋" w:eastAsia="仿宋_GB2312" w:cs="仿宋"/>
                <w:sz w:val="24"/>
              </w:rPr>
            </w:pPr>
          </w:p>
        </w:tc>
      </w:tr>
      <w:tr w14:paraId="2D0B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48" w:type="dxa"/>
            <w:vMerge w:val="continue"/>
            <w:tcBorders>
              <w:left w:val="single" w:color="auto" w:sz="4" w:space="0"/>
              <w:right w:val="single" w:color="auto" w:sz="4" w:space="0"/>
            </w:tcBorders>
            <w:tcMar>
              <w:left w:w="28" w:type="dxa"/>
              <w:right w:w="28" w:type="dxa"/>
            </w:tcMar>
            <w:vAlign w:val="center"/>
          </w:tcPr>
          <w:p w14:paraId="0A06A35D">
            <w:pPr>
              <w:spacing w:line="36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3BB5E7AC">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C8596DD">
            <w:pPr>
              <w:spacing w:line="36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BF96CE9">
            <w:pPr>
              <w:spacing w:line="36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AD3EB34">
            <w:pPr>
              <w:spacing w:line="360" w:lineRule="auto"/>
              <w:jc w:val="center"/>
              <w:rPr>
                <w:rFonts w:ascii="仿宋_GB2312" w:hAnsi="仿宋" w:eastAsia="仿宋_GB2312" w:cs="仿宋"/>
                <w:sz w:val="24"/>
              </w:rPr>
            </w:pPr>
            <w:r>
              <w:rPr>
                <w:rFonts w:hint="eastAsia" w:ascii="仿宋_GB2312" w:hAnsi="仿宋" w:eastAsia="仿宋_GB2312" w:cs="仿宋"/>
                <w:sz w:val="24"/>
              </w:rPr>
              <w:t>30%</w:t>
            </w:r>
          </w:p>
        </w:tc>
        <w:tc>
          <w:tcPr>
            <w:tcW w:w="3260" w:type="dxa"/>
            <w:vMerge w:val="continue"/>
            <w:tcBorders>
              <w:left w:val="single" w:color="auto" w:sz="4" w:space="0"/>
              <w:right w:val="single" w:color="auto" w:sz="4" w:space="0"/>
            </w:tcBorders>
            <w:tcMar>
              <w:left w:w="28" w:type="dxa"/>
              <w:right w:w="28" w:type="dxa"/>
            </w:tcMar>
            <w:vAlign w:val="center"/>
          </w:tcPr>
          <w:p w14:paraId="5EF30B72">
            <w:pPr>
              <w:spacing w:line="360" w:lineRule="auto"/>
              <w:jc w:val="center"/>
              <w:rPr>
                <w:rFonts w:ascii="仿宋_GB2312" w:hAnsi="仿宋" w:eastAsia="仿宋_GB2312" w:cs="仿宋"/>
                <w:sz w:val="24"/>
              </w:rPr>
            </w:pPr>
          </w:p>
        </w:tc>
      </w:tr>
      <w:tr w14:paraId="72D1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48" w:type="dxa"/>
            <w:vMerge w:val="continue"/>
            <w:tcBorders>
              <w:left w:val="single" w:color="auto" w:sz="4" w:space="0"/>
              <w:right w:val="single" w:color="auto" w:sz="4" w:space="0"/>
            </w:tcBorders>
            <w:tcMar>
              <w:left w:w="28" w:type="dxa"/>
              <w:right w:w="28" w:type="dxa"/>
            </w:tcMar>
            <w:vAlign w:val="center"/>
          </w:tcPr>
          <w:p w14:paraId="1A42E42E">
            <w:pPr>
              <w:spacing w:line="36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13387EEC">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969DEC6">
            <w:pPr>
              <w:spacing w:line="36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D94573A">
            <w:pPr>
              <w:spacing w:line="360" w:lineRule="auto"/>
              <w:jc w:val="center"/>
              <w:rPr>
                <w:rFonts w:ascii="仿宋_GB2312" w:hAnsi="仿宋" w:eastAsia="仿宋_GB2312" w:cs="仿宋"/>
                <w:sz w:val="24"/>
              </w:rPr>
            </w:pPr>
            <w:r>
              <w:rPr>
                <w:rFonts w:hint="eastAsia" w:ascii="仿宋_GB2312" w:hAnsi="仿宋" w:eastAsia="仿宋_GB2312" w:cs="仿宋"/>
                <w:sz w:val="24"/>
              </w:rPr>
              <w:t>8000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EE32B4D">
            <w:pPr>
              <w:spacing w:line="360" w:lineRule="auto"/>
              <w:jc w:val="center"/>
              <w:rPr>
                <w:rFonts w:ascii="仿宋_GB2312" w:hAnsi="仿宋" w:eastAsia="仿宋_GB2312" w:cs="仿宋"/>
                <w:sz w:val="24"/>
              </w:rPr>
            </w:pPr>
            <w:r>
              <w:rPr>
                <w:rFonts w:hint="eastAsia" w:ascii="仿宋_GB2312" w:hAnsi="仿宋" w:eastAsia="仿宋_GB2312" w:cs="仿宋"/>
                <w:sz w:val="24"/>
              </w:rPr>
              <w:t>40%</w:t>
            </w:r>
          </w:p>
        </w:tc>
        <w:tc>
          <w:tcPr>
            <w:tcW w:w="3260" w:type="dxa"/>
            <w:vMerge w:val="continue"/>
            <w:tcBorders>
              <w:left w:val="single" w:color="auto" w:sz="4" w:space="0"/>
              <w:right w:val="single" w:color="auto" w:sz="4" w:space="0"/>
            </w:tcBorders>
            <w:tcMar>
              <w:left w:w="28" w:type="dxa"/>
              <w:right w:w="28" w:type="dxa"/>
            </w:tcMar>
            <w:vAlign w:val="center"/>
          </w:tcPr>
          <w:p w14:paraId="1C012415">
            <w:pPr>
              <w:spacing w:line="360" w:lineRule="auto"/>
              <w:jc w:val="center"/>
              <w:rPr>
                <w:rFonts w:ascii="仿宋_GB2312" w:hAnsi="仿宋" w:eastAsia="仿宋_GB2312" w:cs="仿宋"/>
                <w:sz w:val="24"/>
              </w:rPr>
            </w:pPr>
          </w:p>
        </w:tc>
      </w:tr>
      <w:tr w14:paraId="32F8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48" w:type="dxa"/>
            <w:vMerge w:val="continue"/>
            <w:tcBorders>
              <w:left w:val="single" w:color="auto" w:sz="4" w:space="0"/>
              <w:bottom w:val="single" w:color="auto" w:sz="4" w:space="0"/>
              <w:right w:val="single" w:color="auto" w:sz="4" w:space="0"/>
            </w:tcBorders>
            <w:tcMar>
              <w:left w:w="28" w:type="dxa"/>
              <w:right w:w="28" w:type="dxa"/>
            </w:tcMar>
            <w:vAlign w:val="center"/>
          </w:tcPr>
          <w:p w14:paraId="7D05D982">
            <w:pPr>
              <w:spacing w:line="36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64764DBB">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990E25D">
            <w:pPr>
              <w:spacing w:line="36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648E50C">
            <w:pPr>
              <w:spacing w:line="360" w:lineRule="auto"/>
              <w:jc w:val="center"/>
              <w:rPr>
                <w:rFonts w:ascii="仿宋_GB2312" w:hAnsi="仿宋" w:eastAsia="仿宋_GB2312" w:cs="仿宋"/>
                <w:sz w:val="24"/>
              </w:rPr>
            </w:pPr>
            <w:r>
              <w:rPr>
                <w:rFonts w:hint="eastAsia" w:ascii="仿宋_GB2312" w:hAnsi="仿宋" w:eastAsia="仿宋_GB2312" w:cs="仿宋"/>
                <w:sz w:val="24"/>
              </w:rPr>
              <w:t>4000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587E057">
            <w:pPr>
              <w:spacing w:line="360" w:lineRule="auto"/>
              <w:jc w:val="center"/>
              <w:rPr>
                <w:rFonts w:ascii="仿宋_GB2312" w:hAnsi="仿宋" w:eastAsia="仿宋_GB2312" w:cs="仿宋"/>
                <w:sz w:val="24"/>
              </w:rPr>
            </w:pPr>
            <w:r>
              <w:rPr>
                <w:rFonts w:hint="eastAsia" w:ascii="仿宋_GB2312" w:hAnsi="仿宋" w:eastAsia="仿宋_GB2312" w:cs="仿宋"/>
                <w:sz w:val="24"/>
              </w:rPr>
              <w:t>30%</w:t>
            </w:r>
          </w:p>
        </w:tc>
        <w:tc>
          <w:tcPr>
            <w:tcW w:w="3260" w:type="dxa"/>
            <w:vMerge w:val="continue"/>
            <w:tcBorders>
              <w:left w:val="single" w:color="auto" w:sz="4" w:space="0"/>
              <w:bottom w:val="single" w:color="auto" w:sz="4" w:space="0"/>
              <w:right w:val="single" w:color="auto" w:sz="4" w:space="0"/>
            </w:tcBorders>
            <w:tcMar>
              <w:left w:w="28" w:type="dxa"/>
              <w:right w:w="28" w:type="dxa"/>
            </w:tcMar>
            <w:vAlign w:val="center"/>
          </w:tcPr>
          <w:p w14:paraId="68B6416B">
            <w:pPr>
              <w:spacing w:line="360" w:lineRule="auto"/>
              <w:jc w:val="center"/>
              <w:rPr>
                <w:rFonts w:ascii="仿宋_GB2312" w:hAnsi="仿宋" w:eastAsia="仿宋_GB2312" w:cs="仿宋"/>
                <w:sz w:val="24"/>
              </w:rPr>
            </w:pPr>
          </w:p>
        </w:tc>
      </w:tr>
      <w:tr w14:paraId="1141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48"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94509DF">
            <w:pPr>
              <w:spacing w:line="360" w:lineRule="auto"/>
              <w:jc w:val="center"/>
              <w:rPr>
                <w:rFonts w:ascii="仿宋_GB2312" w:hAnsi="仿宋" w:eastAsia="仿宋_GB2312" w:cs="仿宋"/>
                <w:sz w:val="24"/>
              </w:rPr>
            </w:pPr>
            <w:r>
              <w:rPr>
                <w:rFonts w:hint="eastAsia" w:ascii="仿宋_GB2312" w:hAnsi="仿宋" w:eastAsia="仿宋_GB2312" w:cs="仿宋"/>
                <w:sz w:val="24"/>
              </w:rPr>
              <w:t>博士生</w:t>
            </w:r>
          </w:p>
        </w:tc>
        <w:tc>
          <w:tcPr>
            <w:tcW w:w="13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FAF9DDC">
            <w:pPr>
              <w:spacing w:line="360" w:lineRule="auto"/>
              <w:jc w:val="center"/>
              <w:rPr>
                <w:rFonts w:ascii="仿宋_GB2312" w:hAnsi="仿宋" w:eastAsia="仿宋_GB2312" w:cs="仿宋"/>
                <w:sz w:val="24"/>
              </w:rPr>
            </w:pPr>
            <w:r>
              <w:rPr>
                <w:rFonts w:hint="eastAsia" w:ascii="仿宋_GB2312" w:hAnsi="仿宋" w:eastAsia="仿宋_GB2312" w:cs="仿宋"/>
                <w:sz w:val="24"/>
              </w:rPr>
              <w:t>一年级</w:t>
            </w:r>
          </w:p>
        </w:tc>
        <w:tc>
          <w:tcPr>
            <w:tcW w:w="244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AD136A6">
            <w:pPr>
              <w:spacing w:line="36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F5F1B87">
            <w:pPr>
              <w:spacing w:line="360" w:lineRule="auto"/>
              <w:jc w:val="center"/>
              <w:rPr>
                <w:rFonts w:ascii="仿宋_GB2312" w:hAnsi="仿宋" w:eastAsia="仿宋_GB2312" w:cs="仿宋"/>
                <w:sz w:val="24"/>
              </w:rPr>
            </w:pPr>
            <w:r>
              <w:rPr>
                <w:rFonts w:hint="eastAsia" w:ascii="仿宋_GB2312" w:hAnsi="仿宋" w:eastAsia="仿宋_GB2312" w:cs="仿宋"/>
                <w:sz w:val="24"/>
              </w:rPr>
              <w:t>100%</w:t>
            </w:r>
          </w:p>
        </w:tc>
        <w:tc>
          <w:tcPr>
            <w:tcW w:w="3260"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3629A6B">
            <w:pPr>
              <w:spacing w:line="360" w:lineRule="auto"/>
              <w:jc w:val="center"/>
              <w:rPr>
                <w:rFonts w:ascii="仿宋_GB2312" w:hAnsi="仿宋" w:eastAsia="仿宋_GB2312" w:cs="仿宋"/>
                <w:sz w:val="24"/>
              </w:rPr>
            </w:pPr>
            <w:r>
              <w:rPr>
                <w:rFonts w:hint="eastAsia" w:ascii="仿宋_GB2312" w:hAnsi="仿宋" w:eastAsia="仿宋_GB2312" w:cs="仿宋"/>
                <w:sz w:val="24"/>
              </w:rPr>
              <w:t>1、全体全日制非定向博士生；</w:t>
            </w:r>
          </w:p>
          <w:p w14:paraId="4B856258">
            <w:pPr>
              <w:spacing w:line="360" w:lineRule="auto"/>
              <w:jc w:val="center"/>
              <w:rPr>
                <w:rFonts w:ascii="仿宋_GB2312" w:hAnsi="仿宋" w:eastAsia="仿宋_GB2312" w:cs="仿宋"/>
                <w:sz w:val="24"/>
              </w:rPr>
            </w:pPr>
            <w:r>
              <w:rPr>
                <w:rFonts w:hint="eastAsia" w:ascii="仿宋_GB2312" w:hAnsi="仿宋" w:eastAsia="仿宋_GB2312" w:cs="仿宋"/>
                <w:sz w:val="24"/>
              </w:rPr>
              <w:t>2、直博生二年级享受一等学业奖学金；</w:t>
            </w:r>
          </w:p>
          <w:p w14:paraId="7889A592">
            <w:pPr>
              <w:spacing w:line="360" w:lineRule="auto"/>
              <w:jc w:val="center"/>
              <w:rPr>
                <w:rFonts w:ascii="仿宋_GB2312" w:hAnsi="仿宋" w:eastAsia="仿宋_GB2312" w:cs="仿宋"/>
                <w:sz w:val="24"/>
              </w:rPr>
            </w:pPr>
            <w:r>
              <w:rPr>
                <w:rFonts w:hint="eastAsia" w:ascii="仿宋_GB2312" w:hAnsi="仿宋" w:eastAsia="仿宋_GB2312" w:cs="仿宋"/>
                <w:sz w:val="24"/>
              </w:rPr>
              <w:t>3、设置比例以具有同类型参评基本条件的人员为基数。</w:t>
            </w:r>
          </w:p>
        </w:tc>
      </w:tr>
      <w:tr w14:paraId="0634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C6EA438">
            <w:pPr>
              <w:spacing w:line="36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611952D">
            <w:pPr>
              <w:spacing w:line="360" w:lineRule="auto"/>
              <w:jc w:val="center"/>
              <w:rPr>
                <w:rFonts w:ascii="仿宋_GB2312" w:hAnsi="仿宋" w:eastAsia="仿宋_GB2312" w:cs="仿宋"/>
                <w:sz w:val="24"/>
              </w:rPr>
            </w:pPr>
            <w:r>
              <w:rPr>
                <w:rFonts w:hint="eastAsia" w:ascii="仿宋_GB2312" w:hAnsi="仿宋" w:eastAsia="仿宋_GB2312" w:cs="仿宋"/>
                <w:sz w:val="24"/>
              </w:rPr>
              <w:t>二年级及</w:t>
            </w:r>
          </w:p>
          <w:p w14:paraId="15724B43">
            <w:pPr>
              <w:spacing w:line="360" w:lineRule="auto"/>
              <w:jc w:val="center"/>
              <w:rPr>
                <w:rFonts w:ascii="仿宋_GB2312" w:hAnsi="仿宋" w:eastAsia="仿宋_GB2312" w:cs="仿宋"/>
                <w:sz w:val="24"/>
              </w:rPr>
            </w:pPr>
            <w:r>
              <w:rPr>
                <w:rFonts w:hint="eastAsia" w:ascii="仿宋_GB2312" w:hAnsi="仿宋" w:eastAsia="仿宋_GB2312" w:cs="仿宋"/>
                <w:sz w:val="24"/>
              </w:rPr>
              <w:t>以上</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CBC7FE5">
            <w:pPr>
              <w:spacing w:line="36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3569BE5">
            <w:pPr>
              <w:spacing w:line="360" w:lineRule="auto"/>
              <w:jc w:val="center"/>
              <w:rPr>
                <w:rFonts w:ascii="仿宋_GB2312" w:hAnsi="仿宋" w:eastAsia="仿宋_GB2312" w:cs="仿宋"/>
                <w:sz w:val="24"/>
              </w:rPr>
            </w:pPr>
            <w:r>
              <w:rPr>
                <w:rFonts w:hint="eastAsia" w:ascii="仿宋_GB2312" w:hAnsi="仿宋" w:eastAsia="仿宋_GB2312" w:cs="仿宋"/>
                <w:sz w:val="24"/>
              </w:rPr>
              <w:t>25000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9F3271A">
            <w:pPr>
              <w:spacing w:line="360" w:lineRule="auto"/>
              <w:jc w:val="center"/>
              <w:rPr>
                <w:rFonts w:ascii="仿宋_GB2312" w:hAnsi="仿宋" w:eastAsia="仿宋_GB2312" w:cs="仿宋"/>
                <w:sz w:val="24"/>
              </w:rPr>
            </w:pPr>
            <w:r>
              <w:rPr>
                <w:rFonts w:hint="eastAsia" w:ascii="仿宋_GB2312" w:hAnsi="仿宋" w:eastAsia="仿宋_GB2312" w:cs="仿宋"/>
                <w:sz w:val="24"/>
              </w:rPr>
              <w:t>20%</w:t>
            </w:r>
          </w:p>
        </w:tc>
        <w:tc>
          <w:tcPr>
            <w:tcW w:w="326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82D9EFF">
            <w:pPr>
              <w:spacing w:line="360" w:lineRule="auto"/>
              <w:jc w:val="center"/>
              <w:rPr>
                <w:rFonts w:ascii="仿宋_GB2312" w:hAnsi="仿宋" w:eastAsia="仿宋_GB2312" w:cs="仿宋"/>
                <w:sz w:val="24"/>
              </w:rPr>
            </w:pPr>
          </w:p>
        </w:tc>
      </w:tr>
      <w:tr w14:paraId="392D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BA19BD0">
            <w:pPr>
              <w:spacing w:line="36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74F4A77">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51AC936">
            <w:pPr>
              <w:spacing w:line="36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05FE289">
            <w:pPr>
              <w:spacing w:line="36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A9E0308">
            <w:pPr>
              <w:spacing w:line="360" w:lineRule="auto"/>
              <w:jc w:val="center"/>
              <w:rPr>
                <w:rFonts w:ascii="仿宋_GB2312" w:hAnsi="仿宋" w:eastAsia="仿宋_GB2312" w:cs="仿宋"/>
                <w:sz w:val="24"/>
              </w:rPr>
            </w:pPr>
            <w:r>
              <w:rPr>
                <w:rFonts w:hint="eastAsia" w:ascii="仿宋_GB2312" w:hAnsi="仿宋" w:eastAsia="仿宋_GB2312" w:cs="仿宋"/>
                <w:sz w:val="24"/>
              </w:rPr>
              <w:t>40%</w:t>
            </w:r>
          </w:p>
        </w:tc>
        <w:tc>
          <w:tcPr>
            <w:tcW w:w="326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A1575AC">
            <w:pPr>
              <w:spacing w:line="360" w:lineRule="auto"/>
              <w:jc w:val="center"/>
              <w:rPr>
                <w:rFonts w:ascii="仿宋_GB2312" w:hAnsi="仿宋" w:eastAsia="仿宋_GB2312" w:cs="仿宋"/>
                <w:sz w:val="24"/>
              </w:rPr>
            </w:pPr>
          </w:p>
        </w:tc>
      </w:tr>
      <w:tr w14:paraId="0A3B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1D859EB">
            <w:pPr>
              <w:spacing w:line="36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A57BCC6">
            <w:pPr>
              <w:spacing w:line="360" w:lineRule="auto"/>
              <w:jc w:val="center"/>
              <w:rPr>
                <w:rFonts w:ascii="仿宋_GB2312" w:hAnsi="仿宋" w:eastAsia="仿宋_GB2312" w:cs="仿宋"/>
                <w:sz w:val="24"/>
              </w:rPr>
            </w:pP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9C89EEE">
            <w:pPr>
              <w:spacing w:line="36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6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B565291">
            <w:pPr>
              <w:spacing w:line="360" w:lineRule="auto"/>
              <w:jc w:val="center"/>
              <w:rPr>
                <w:rFonts w:ascii="仿宋_GB2312" w:hAnsi="仿宋" w:eastAsia="仿宋_GB2312" w:cs="仿宋"/>
                <w:sz w:val="24"/>
              </w:rPr>
            </w:pPr>
            <w:r>
              <w:rPr>
                <w:rFonts w:hint="eastAsia" w:ascii="仿宋_GB2312" w:hAnsi="仿宋" w:eastAsia="仿宋_GB2312" w:cs="仿宋"/>
                <w:sz w:val="24"/>
              </w:rPr>
              <w:t>15000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1854A82">
            <w:pPr>
              <w:spacing w:line="360" w:lineRule="auto"/>
              <w:jc w:val="center"/>
              <w:rPr>
                <w:rFonts w:ascii="仿宋_GB2312" w:hAnsi="仿宋" w:eastAsia="仿宋_GB2312" w:cs="仿宋"/>
                <w:sz w:val="24"/>
              </w:rPr>
            </w:pPr>
            <w:r>
              <w:rPr>
                <w:rFonts w:hint="eastAsia" w:ascii="仿宋_GB2312" w:hAnsi="仿宋" w:eastAsia="仿宋_GB2312" w:cs="仿宋"/>
                <w:sz w:val="24"/>
              </w:rPr>
              <w:t>40%</w:t>
            </w:r>
          </w:p>
        </w:tc>
        <w:tc>
          <w:tcPr>
            <w:tcW w:w="326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F00C689">
            <w:pPr>
              <w:spacing w:line="360" w:lineRule="auto"/>
              <w:jc w:val="center"/>
              <w:rPr>
                <w:rFonts w:ascii="仿宋_GB2312" w:hAnsi="仿宋" w:eastAsia="仿宋_GB2312" w:cs="仿宋"/>
                <w:sz w:val="24"/>
              </w:rPr>
            </w:pPr>
          </w:p>
        </w:tc>
      </w:tr>
    </w:tbl>
    <w:p w14:paraId="191BD08E">
      <w:pPr>
        <w:spacing w:line="360" w:lineRule="auto"/>
        <w:ind w:firstLine="640" w:firstLineChars="200"/>
        <w:rPr>
          <w:rFonts w:hint="eastAsia" w:ascii="仿宋_GB2312" w:hAnsi="仿宋" w:eastAsia="仿宋_GB2312" w:cs="仿宋"/>
          <w:sz w:val="32"/>
          <w:szCs w:val="32"/>
        </w:rPr>
      </w:pPr>
    </w:p>
    <w:p w14:paraId="48097B64">
      <w:pPr>
        <w:ind w:firstLine="640" w:firstLineChars="200"/>
        <w:rPr>
          <w:rFonts w:ascii="仿宋_GB2312" w:hAnsi="仿宋" w:eastAsia="仿宋_GB2312" w:cs="仿宋"/>
          <w:sz w:val="32"/>
          <w:szCs w:val="32"/>
        </w:rPr>
      </w:pPr>
      <w:bookmarkStart w:id="1" w:name="_GoBack"/>
      <w:bookmarkEnd w:id="1"/>
      <w:r>
        <w:rPr>
          <w:rFonts w:hint="eastAsia" w:ascii="仿宋_GB2312" w:hAnsi="仿宋" w:eastAsia="仿宋_GB2312" w:cs="仿宋"/>
          <w:sz w:val="32"/>
          <w:szCs w:val="32"/>
        </w:rPr>
        <w:t>（二）</w:t>
      </w:r>
      <w:bookmarkStart w:id="0" w:name="_Hlk145438236"/>
      <w:r>
        <w:rPr>
          <w:rFonts w:hint="eastAsia" w:ascii="仿宋_GB2312" w:hAnsi="仿宋" w:eastAsia="仿宋_GB2312" w:cs="仿宋"/>
          <w:sz w:val="32"/>
          <w:szCs w:val="32"/>
        </w:rPr>
        <w:t>2022年秋季学期及以后入学的研究生</w:t>
      </w:r>
      <w:bookmarkEnd w:id="0"/>
      <w:r>
        <w:rPr>
          <w:rFonts w:hint="eastAsia" w:ascii="仿宋_GB2312" w:hAnsi="仿宋" w:eastAsia="仿宋_GB2312" w:cs="仿宋"/>
          <w:sz w:val="32"/>
          <w:szCs w:val="32"/>
        </w:rPr>
        <w:t>：</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52"/>
        <w:gridCol w:w="1433"/>
        <w:gridCol w:w="1298"/>
        <w:gridCol w:w="1134"/>
        <w:gridCol w:w="2694"/>
      </w:tblGrid>
      <w:tr w14:paraId="0791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ECF9055">
            <w:pPr>
              <w:spacing w:line="240" w:lineRule="auto"/>
              <w:jc w:val="center"/>
              <w:rPr>
                <w:rFonts w:ascii="仿宋_GB2312" w:hAnsi="仿宋" w:eastAsia="仿宋_GB2312" w:cs="仿宋"/>
                <w:sz w:val="24"/>
              </w:rPr>
            </w:pPr>
            <w:r>
              <w:rPr>
                <w:rFonts w:hint="eastAsia" w:ascii="仿宋_GB2312" w:hAnsi="仿宋" w:eastAsia="仿宋_GB2312" w:cs="仿宋"/>
                <w:sz w:val="24"/>
              </w:rPr>
              <w:t>学生类别</w:t>
            </w:r>
          </w:p>
        </w:tc>
        <w:tc>
          <w:tcPr>
            <w:tcW w:w="273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D257C59">
            <w:pPr>
              <w:spacing w:line="240" w:lineRule="auto"/>
              <w:jc w:val="center"/>
              <w:rPr>
                <w:rFonts w:ascii="仿宋_GB2312" w:hAnsi="仿宋" w:eastAsia="仿宋_GB2312" w:cs="仿宋"/>
                <w:sz w:val="24"/>
              </w:rPr>
            </w:pPr>
            <w:r>
              <w:rPr>
                <w:rFonts w:hint="eastAsia" w:ascii="仿宋_GB2312" w:hAnsi="仿宋" w:eastAsia="仿宋_GB2312" w:cs="仿宋"/>
                <w:sz w:val="24"/>
              </w:rPr>
              <w:t>学业奖学金（元/年）</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201BCE">
            <w:pPr>
              <w:spacing w:line="240" w:lineRule="auto"/>
              <w:jc w:val="center"/>
              <w:rPr>
                <w:rFonts w:ascii="仿宋_GB2312" w:hAnsi="仿宋" w:eastAsia="仿宋_GB2312" w:cs="仿宋"/>
                <w:sz w:val="24"/>
              </w:rPr>
            </w:pPr>
            <w:r>
              <w:rPr>
                <w:rFonts w:hint="eastAsia" w:ascii="仿宋_GB2312" w:hAnsi="仿宋" w:eastAsia="仿宋_GB2312" w:cs="仿宋"/>
                <w:sz w:val="24"/>
              </w:rPr>
              <w:t>设置比例</w:t>
            </w:r>
          </w:p>
        </w:tc>
        <w:tc>
          <w:tcPr>
            <w:tcW w:w="26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4D76D86">
            <w:pPr>
              <w:spacing w:line="240" w:lineRule="auto"/>
              <w:jc w:val="center"/>
              <w:rPr>
                <w:rFonts w:ascii="仿宋_GB2312" w:hAnsi="仿宋" w:eastAsia="仿宋_GB2312" w:cs="仿宋"/>
                <w:sz w:val="24"/>
              </w:rPr>
            </w:pPr>
            <w:r>
              <w:rPr>
                <w:rFonts w:hint="eastAsia" w:ascii="仿宋_GB2312" w:hAnsi="仿宋" w:eastAsia="仿宋_GB2312" w:cs="仿宋"/>
                <w:sz w:val="24"/>
              </w:rPr>
              <w:t>备  注</w:t>
            </w:r>
          </w:p>
        </w:tc>
      </w:tr>
      <w:tr w14:paraId="3E24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restart"/>
            <w:tcBorders>
              <w:left w:val="single" w:color="auto" w:sz="4" w:space="0"/>
              <w:right w:val="single" w:color="auto" w:sz="4" w:space="0"/>
            </w:tcBorders>
            <w:tcMar>
              <w:left w:w="28" w:type="dxa"/>
              <w:right w:w="28" w:type="dxa"/>
            </w:tcMar>
            <w:vAlign w:val="center"/>
          </w:tcPr>
          <w:p w14:paraId="774D70F0">
            <w:pPr>
              <w:spacing w:line="240" w:lineRule="auto"/>
              <w:jc w:val="center"/>
              <w:rPr>
                <w:rFonts w:ascii="仿宋_GB2312" w:hAnsi="仿宋" w:eastAsia="仿宋_GB2312" w:cs="仿宋"/>
                <w:sz w:val="24"/>
              </w:rPr>
            </w:pPr>
            <w:r>
              <w:rPr>
                <w:rFonts w:hint="eastAsia" w:ascii="仿宋_GB2312" w:hAnsi="仿宋" w:eastAsia="仿宋_GB2312" w:cs="仿宋"/>
                <w:sz w:val="24"/>
              </w:rPr>
              <w:t>硕士生</w:t>
            </w:r>
          </w:p>
        </w:tc>
        <w:tc>
          <w:tcPr>
            <w:tcW w:w="1352"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0F29315">
            <w:pPr>
              <w:spacing w:line="240" w:lineRule="auto"/>
              <w:jc w:val="center"/>
              <w:rPr>
                <w:rFonts w:ascii="仿宋_GB2312" w:hAnsi="仿宋" w:eastAsia="仿宋_GB2312" w:cs="仿宋"/>
                <w:sz w:val="24"/>
              </w:rPr>
            </w:pPr>
            <w:r>
              <w:rPr>
                <w:rFonts w:hint="eastAsia" w:ascii="仿宋_GB2312" w:hAnsi="仿宋" w:eastAsia="仿宋_GB2312" w:cs="仿宋"/>
                <w:sz w:val="24"/>
              </w:rPr>
              <w:t>一年级</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5017C0D">
            <w:pPr>
              <w:spacing w:line="240" w:lineRule="auto"/>
              <w:jc w:val="center"/>
              <w:rPr>
                <w:rFonts w:ascii="仿宋_GB2312" w:hAnsi="仿宋" w:eastAsia="仿宋_GB2312" w:cs="仿宋"/>
                <w:sz w:val="24"/>
              </w:rPr>
            </w:pPr>
            <w:r>
              <w:rPr>
                <w:rFonts w:hint="eastAsia" w:ascii="仿宋_GB2312" w:hAnsi="仿宋" w:eastAsia="仿宋_GB2312" w:cs="仿宋"/>
                <w:sz w:val="24"/>
              </w:rPr>
              <w:t>推免生</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0B618">
            <w:pPr>
              <w:spacing w:line="24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vMerge w:val="restart"/>
            <w:tcBorders>
              <w:top w:val="single" w:color="auto" w:sz="4" w:space="0"/>
              <w:left w:val="single" w:color="auto" w:sz="4" w:space="0"/>
              <w:right w:val="single" w:color="auto" w:sz="4" w:space="0"/>
            </w:tcBorders>
            <w:tcMar>
              <w:left w:w="28" w:type="dxa"/>
              <w:right w:w="28" w:type="dxa"/>
            </w:tcMar>
            <w:vAlign w:val="center"/>
          </w:tcPr>
          <w:p w14:paraId="47569979">
            <w:pPr>
              <w:spacing w:line="240" w:lineRule="auto"/>
              <w:jc w:val="center"/>
              <w:rPr>
                <w:rFonts w:ascii="仿宋_GB2312" w:hAnsi="仿宋" w:eastAsia="仿宋_GB2312" w:cs="仿宋"/>
                <w:sz w:val="24"/>
              </w:rPr>
            </w:pPr>
            <w:r>
              <w:rPr>
                <w:rFonts w:hint="eastAsia" w:ascii="仿宋_GB2312" w:hAnsi="仿宋" w:eastAsia="仿宋_GB2312" w:cs="仿宋"/>
                <w:sz w:val="24"/>
              </w:rPr>
              <w:t>100%</w:t>
            </w:r>
          </w:p>
        </w:tc>
        <w:tc>
          <w:tcPr>
            <w:tcW w:w="2694" w:type="dxa"/>
            <w:vMerge w:val="restart"/>
            <w:tcBorders>
              <w:top w:val="single" w:color="auto" w:sz="4" w:space="0"/>
              <w:left w:val="single" w:color="auto" w:sz="4" w:space="0"/>
              <w:right w:val="single" w:color="auto" w:sz="4" w:space="0"/>
            </w:tcBorders>
            <w:tcMar>
              <w:left w:w="28" w:type="dxa"/>
              <w:right w:w="28" w:type="dxa"/>
            </w:tcMar>
            <w:vAlign w:val="center"/>
          </w:tcPr>
          <w:p w14:paraId="604AA03B">
            <w:pPr>
              <w:spacing w:line="240" w:lineRule="auto"/>
              <w:rPr>
                <w:rFonts w:ascii="仿宋_GB2312" w:hAnsi="仿宋" w:eastAsia="仿宋_GB2312" w:cs="仿宋"/>
                <w:sz w:val="24"/>
              </w:rPr>
            </w:pPr>
            <w:r>
              <w:rPr>
                <w:rFonts w:hint="eastAsia" w:ascii="仿宋_GB2312" w:hAnsi="仿宋" w:eastAsia="仿宋_GB2312" w:cs="仿宋"/>
                <w:sz w:val="24"/>
              </w:rPr>
              <w:t>1、全体全日制非定向硕士生及少数民族骨干计划中非在职的定向研究生。</w:t>
            </w:r>
          </w:p>
          <w:p w14:paraId="29F1D924">
            <w:pPr>
              <w:spacing w:line="240" w:lineRule="auto"/>
              <w:rPr>
                <w:rFonts w:ascii="仿宋_GB2312" w:hAnsi="仿宋" w:eastAsia="仿宋_GB2312" w:cs="仿宋"/>
                <w:sz w:val="24"/>
              </w:rPr>
            </w:pPr>
            <w:r>
              <w:rPr>
                <w:rFonts w:hint="eastAsia" w:ascii="仿宋_GB2312" w:hAnsi="仿宋" w:eastAsia="仿宋_GB2312" w:cs="仿宋"/>
                <w:sz w:val="24"/>
              </w:rPr>
              <w:t>2、设置比例以具有参评基本条件的人员为基数。</w:t>
            </w:r>
          </w:p>
        </w:tc>
      </w:tr>
      <w:tr w14:paraId="1128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084DF95C">
            <w:pPr>
              <w:spacing w:line="24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263E742">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DABA897">
            <w:pPr>
              <w:spacing w:line="240" w:lineRule="auto"/>
              <w:jc w:val="center"/>
              <w:rPr>
                <w:rFonts w:ascii="仿宋_GB2312" w:hAnsi="仿宋" w:eastAsia="仿宋_GB2312" w:cs="仿宋"/>
                <w:sz w:val="24"/>
              </w:rPr>
            </w:pPr>
            <w:r>
              <w:rPr>
                <w:rFonts w:hint="eastAsia" w:ascii="仿宋_GB2312" w:hAnsi="仿宋" w:eastAsia="仿宋_GB2312" w:cs="仿宋"/>
                <w:sz w:val="24"/>
              </w:rPr>
              <w:t>双一流学科</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6F8BFB">
            <w:pPr>
              <w:spacing w:line="240" w:lineRule="auto"/>
              <w:jc w:val="center"/>
              <w:rPr>
                <w:rFonts w:ascii="仿宋_GB2312" w:hAnsi="仿宋" w:eastAsia="仿宋_GB2312" w:cs="仿宋"/>
                <w:sz w:val="24"/>
              </w:rPr>
            </w:pPr>
            <w:r>
              <w:rPr>
                <w:rFonts w:hint="eastAsia" w:ascii="仿宋_GB2312" w:hAnsi="仿宋" w:eastAsia="仿宋_GB2312" w:cs="仿宋"/>
                <w:sz w:val="24"/>
              </w:rPr>
              <w:t>8000</w:t>
            </w:r>
          </w:p>
        </w:tc>
        <w:tc>
          <w:tcPr>
            <w:tcW w:w="1134" w:type="dxa"/>
            <w:vMerge w:val="continue"/>
            <w:tcBorders>
              <w:left w:val="single" w:color="auto" w:sz="4" w:space="0"/>
              <w:right w:val="single" w:color="auto" w:sz="4" w:space="0"/>
            </w:tcBorders>
            <w:tcMar>
              <w:left w:w="28" w:type="dxa"/>
              <w:right w:w="28" w:type="dxa"/>
            </w:tcMar>
            <w:vAlign w:val="center"/>
          </w:tcPr>
          <w:p w14:paraId="3B5A284D">
            <w:pPr>
              <w:spacing w:line="240" w:lineRule="auto"/>
              <w:jc w:val="center"/>
              <w:rPr>
                <w:rFonts w:ascii="仿宋_GB2312" w:hAnsi="仿宋" w:eastAsia="仿宋_GB2312" w:cs="仿宋"/>
                <w:sz w:val="24"/>
              </w:rPr>
            </w:pPr>
          </w:p>
        </w:tc>
        <w:tc>
          <w:tcPr>
            <w:tcW w:w="2694" w:type="dxa"/>
            <w:vMerge w:val="continue"/>
            <w:tcBorders>
              <w:left w:val="single" w:color="auto" w:sz="4" w:space="0"/>
              <w:right w:val="single" w:color="auto" w:sz="4" w:space="0"/>
            </w:tcBorders>
            <w:tcMar>
              <w:left w:w="28" w:type="dxa"/>
              <w:right w:w="28" w:type="dxa"/>
            </w:tcMar>
            <w:vAlign w:val="center"/>
          </w:tcPr>
          <w:p w14:paraId="0CC8DF3A">
            <w:pPr>
              <w:spacing w:line="240" w:lineRule="auto"/>
              <w:rPr>
                <w:rFonts w:ascii="仿宋_GB2312" w:hAnsi="仿宋" w:eastAsia="仿宋_GB2312" w:cs="仿宋"/>
                <w:sz w:val="24"/>
              </w:rPr>
            </w:pPr>
          </w:p>
        </w:tc>
      </w:tr>
      <w:tr w14:paraId="0413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57A8C58E">
            <w:pPr>
              <w:spacing w:line="240" w:lineRule="auto"/>
              <w:jc w:val="center"/>
              <w:rPr>
                <w:rFonts w:ascii="仿宋_GB2312" w:hAnsi="仿宋" w:eastAsia="仿宋_GB2312" w:cs="仿宋"/>
                <w:sz w:val="24"/>
              </w:rPr>
            </w:pPr>
          </w:p>
        </w:tc>
        <w:tc>
          <w:tcPr>
            <w:tcW w:w="13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0AFB49A">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FB02D84">
            <w:pPr>
              <w:spacing w:line="240" w:lineRule="auto"/>
              <w:jc w:val="center"/>
              <w:rPr>
                <w:rFonts w:ascii="仿宋_GB2312" w:hAnsi="仿宋" w:eastAsia="仿宋_GB2312" w:cs="仿宋"/>
                <w:sz w:val="24"/>
              </w:rPr>
            </w:pPr>
            <w:r>
              <w:rPr>
                <w:rFonts w:hint="eastAsia" w:ascii="仿宋_GB2312" w:hAnsi="仿宋" w:eastAsia="仿宋_GB2312" w:cs="仿宋"/>
                <w:sz w:val="24"/>
              </w:rPr>
              <w:t>其他</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4CF1C49">
            <w:pPr>
              <w:spacing w:line="240" w:lineRule="auto"/>
              <w:jc w:val="center"/>
              <w:rPr>
                <w:rFonts w:ascii="仿宋_GB2312" w:hAnsi="仿宋" w:eastAsia="仿宋_GB2312" w:cs="仿宋"/>
                <w:sz w:val="24"/>
              </w:rPr>
            </w:pPr>
            <w:r>
              <w:rPr>
                <w:rFonts w:hint="eastAsia" w:ascii="仿宋_GB2312" w:hAnsi="仿宋" w:eastAsia="仿宋_GB2312" w:cs="仿宋"/>
                <w:sz w:val="24"/>
              </w:rPr>
              <w:t>6000</w:t>
            </w:r>
          </w:p>
        </w:tc>
        <w:tc>
          <w:tcPr>
            <w:tcW w:w="1134" w:type="dxa"/>
            <w:vMerge w:val="continue"/>
            <w:tcBorders>
              <w:left w:val="single" w:color="auto" w:sz="4" w:space="0"/>
              <w:bottom w:val="single" w:color="auto" w:sz="4" w:space="0"/>
              <w:right w:val="single" w:color="auto" w:sz="4" w:space="0"/>
            </w:tcBorders>
            <w:tcMar>
              <w:left w:w="28" w:type="dxa"/>
              <w:right w:w="28" w:type="dxa"/>
            </w:tcMar>
            <w:vAlign w:val="center"/>
          </w:tcPr>
          <w:p w14:paraId="287D0126">
            <w:pPr>
              <w:spacing w:line="240" w:lineRule="auto"/>
              <w:jc w:val="center"/>
              <w:rPr>
                <w:rFonts w:ascii="仿宋_GB2312" w:hAnsi="仿宋" w:eastAsia="仿宋_GB2312" w:cs="仿宋"/>
                <w:sz w:val="24"/>
              </w:rPr>
            </w:pPr>
          </w:p>
        </w:tc>
        <w:tc>
          <w:tcPr>
            <w:tcW w:w="2694" w:type="dxa"/>
            <w:vMerge w:val="continue"/>
            <w:tcBorders>
              <w:left w:val="single" w:color="auto" w:sz="4" w:space="0"/>
              <w:right w:val="single" w:color="auto" w:sz="4" w:space="0"/>
            </w:tcBorders>
            <w:tcMar>
              <w:left w:w="28" w:type="dxa"/>
              <w:right w:w="28" w:type="dxa"/>
            </w:tcMar>
            <w:vAlign w:val="center"/>
          </w:tcPr>
          <w:p w14:paraId="5EA1E678">
            <w:pPr>
              <w:spacing w:line="240" w:lineRule="auto"/>
              <w:rPr>
                <w:rFonts w:ascii="仿宋_GB2312" w:hAnsi="仿宋" w:eastAsia="仿宋_GB2312" w:cs="仿宋"/>
                <w:sz w:val="24"/>
              </w:rPr>
            </w:pPr>
          </w:p>
        </w:tc>
      </w:tr>
      <w:tr w14:paraId="2EA1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79D70898">
            <w:pPr>
              <w:spacing w:line="24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497198F1">
            <w:pPr>
              <w:spacing w:line="240" w:lineRule="auto"/>
              <w:jc w:val="center"/>
              <w:rPr>
                <w:rFonts w:ascii="仿宋_GB2312" w:hAnsi="仿宋" w:eastAsia="仿宋_GB2312" w:cs="仿宋"/>
                <w:sz w:val="24"/>
              </w:rPr>
            </w:pPr>
            <w:r>
              <w:rPr>
                <w:rFonts w:hint="eastAsia" w:ascii="仿宋_GB2312" w:hAnsi="仿宋" w:eastAsia="仿宋_GB2312" w:cs="仿宋"/>
                <w:sz w:val="24"/>
              </w:rPr>
              <w:t>二、三年级</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6053AC8">
            <w:pPr>
              <w:spacing w:line="240" w:lineRule="auto"/>
              <w:jc w:val="center"/>
              <w:rPr>
                <w:rFonts w:ascii="仿宋_GB2312" w:hAnsi="仿宋" w:eastAsia="仿宋_GB2312" w:cs="仿宋"/>
                <w:sz w:val="24"/>
              </w:rPr>
            </w:pPr>
            <w:r>
              <w:rPr>
                <w:rFonts w:hint="eastAsia" w:ascii="仿宋_GB2312" w:hAnsi="仿宋" w:eastAsia="仿宋_GB2312" w:cs="仿宋"/>
                <w:sz w:val="24"/>
              </w:rPr>
              <w:t>推免生</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1ACCD58">
            <w:pPr>
              <w:spacing w:line="24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D4E75C5">
            <w:pPr>
              <w:spacing w:line="240" w:lineRule="auto"/>
              <w:jc w:val="center"/>
              <w:rPr>
                <w:rFonts w:ascii="仿宋_GB2312" w:hAnsi="仿宋" w:eastAsia="仿宋_GB2312" w:cs="仿宋"/>
                <w:sz w:val="24"/>
              </w:rPr>
            </w:pPr>
            <w:r>
              <w:rPr>
                <w:rFonts w:hint="eastAsia" w:ascii="仿宋_GB2312" w:hAnsi="仿宋" w:eastAsia="仿宋_GB2312" w:cs="仿宋"/>
                <w:sz w:val="24"/>
              </w:rPr>
              <w:t>100%</w:t>
            </w:r>
          </w:p>
        </w:tc>
        <w:tc>
          <w:tcPr>
            <w:tcW w:w="2694" w:type="dxa"/>
            <w:vMerge w:val="continue"/>
            <w:tcBorders>
              <w:left w:val="single" w:color="auto" w:sz="4" w:space="0"/>
              <w:right w:val="single" w:color="auto" w:sz="4" w:space="0"/>
            </w:tcBorders>
            <w:tcMar>
              <w:left w:w="28" w:type="dxa"/>
              <w:right w:w="28" w:type="dxa"/>
            </w:tcMar>
            <w:vAlign w:val="center"/>
          </w:tcPr>
          <w:p w14:paraId="5608E75F">
            <w:pPr>
              <w:spacing w:line="240" w:lineRule="auto"/>
              <w:rPr>
                <w:rFonts w:ascii="仿宋_GB2312" w:hAnsi="仿宋" w:eastAsia="仿宋_GB2312" w:cs="仿宋"/>
                <w:sz w:val="24"/>
              </w:rPr>
            </w:pPr>
          </w:p>
        </w:tc>
      </w:tr>
      <w:tr w14:paraId="06CC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75A5FE5C">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7C1C007C">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94B98FF">
            <w:pPr>
              <w:spacing w:line="24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394388">
            <w:pPr>
              <w:spacing w:line="240" w:lineRule="auto"/>
              <w:jc w:val="center"/>
              <w:rPr>
                <w:rFonts w:ascii="仿宋_GB2312" w:hAnsi="仿宋" w:eastAsia="仿宋_GB2312" w:cs="仿宋"/>
                <w:sz w:val="24"/>
              </w:rPr>
            </w:pPr>
            <w:r>
              <w:rPr>
                <w:rFonts w:hint="eastAsia" w:ascii="仿宋_GB2312" w:hAnsi="仿宋" w:eastAsia="仿宋_GB2312" w:cs="仿宋"/>
                <w:sz w:val="24"/>
              </w:rPr>
              <w:t>12000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E08A87">
            <w:pPr>
              <w:spacing w:line="240" w:lineRule="auto"/>
              <w:jc w:val="center"/>
              <w:rPr>
                <w:rFonts w:ascii="仿宋_GB2312" w:hAnsi="仿宋" w:eastAsia="仿宋_GB2312" w:cs="仿宋"/>
                <w:sz w:val="24"/>
              </w:rPr>
            </w:pPr>
            <w:r>
              <w:rPr>
                <w:rFonts w:hint="eastAsia" w:ascii="仿宋_GB2312" w:hAnsi="仿宋" w:eastAsia="仿宋_GB2312" w:cs="仿宋"/>
                <w:sz w:val="24"/>
              </w:rPr>
              <w:t>10%</w:t>
            </w:r>
          </w:p>
        </w:tc>
        <w:tc>
          <w:tcPr>
            <w:tcW w:w="2694" w:type="dxa"/>
            <w:vMerge w:val="continue"/>
            <w:tcBorders>
              <w:left w:val="single" w:color="auto" w:sz="4" w:space="0"/>
              <w:right w:val="single" w:color="auto" w:sz="4" w:space="0"/>
            </w:tcBorders>
            <w:tcMar>
              <w:left w:w="28" w:type="dxa"/>
              <w:right w:w="28" w:type="dxa"/>
            </w:tcMar>
            <w:vAlign w:val="center"/>
          </w:tcPr>
          <w:p w14:paraId="382F39E1">
            <w:pPr>
              <w:spacing w:line="240" w:lineRule="auto"/>
              <w:rPr>
                <w:rFonts w:ascii="仿宋_GB2312" w:hAnsi="仿宋" w:eastAsia="仿宋_GB2312" w:cs="仿宋"/>
                <w:sz w:val="24"/>
              </w:rPr>
            </w:pPr>
          </w:p>
        </w:tc>
      </w:tr>
      <w:tr w14:paraId="5B20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660A09F2">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2A2C6620">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56B1F8">
            <w:pPr>
              <w:spacing w:line="24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CF6307E">
            <w:pPr>
              <w:spacing w:line="240" w:lineRule="auto"/>
              <w:jc w:val="center"/>
              <w:rPr>
                <w:rFonts w:ascii="仿宋_GB2312" w:hAnsi="仿宋" w:eastAsia="仿宋_GB2312" w:cs="仿宋"/>
                <w:sz w:val="24"/>
              </w:rPr>
            </w:pPr>
            <w:r>
              <w:rPr>
                <w:rFonts w:hint="eastAsia" w:ascii="仿宋_GB2312" w:hAnsi="仿宋" w:eastAsia="仿宋_GB2312" w:cs="仿宋"/>
                <w:sz w:val="24"/>
              </w:rPr>
              <w:t>8000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BAF0A7E">
            <w:pPr>
              <w:spacing w:line="240" w:lineRule="auto"/>
              <w:jc w:val="center"/>
              <w:rPr>
                <w:rFonts w:ascii="仿宋_GB2312" w:hAnsi="仿宋" w:eastAsia="仿宋_GB2312" w:cs="仿宋"/>
                <w:sz w:val="24"/>
              </w:rPr>
            </w:pPr>
            <w:r>
              <w:rPr>
                <w:rFonts w:hint="eastAsia" w:ascii="仿宋_GB2312" w:hAnsi="仿宋" w:eastAsia="仿宋_GB2312" w:cs="仿宋"/>
                <w:sz w:val="24"/>
              </w:rPr>
              <w:t>30%</w:t>
            </w:r>
          </w:p>
        </w:tc>
        <w:tc>
          <w:tcPr>
            <w:tcW w:w="2694" w:type="dxa"/>
            <w:vMerge w:val="continue"/>
            <w:tcBorders>
              <w:left w:val="single" w:color="auto" w:sz="4" w:space="0"/>
              <w:right w:val="single" w:color="auto" w:sz="4" w:space="0"/>
            </w:tcBorders>
            <w:tcMar>
              <w:left w:w="28" w:type="dxa"/>
              <w:right w:w="28" w:type="dxa"/>
            </w:tcMar>
            <w:vAlign w:val="center"/>
          </w:tcPr>
          <w:p w14:paraId="653270DE">
            <w:pPr>
              <w:spacing w:line="240" w:lineRule="auto"/>
              <w:rPr>
                <w:rFonts w:ascii="仿宋_GB2312" w:hAnsi="仿宋" w:eastAsia="仿宋_GB2312" w:cs="仿宋"/>
                <w:sz w:val="24"/>
              </w:rPr>
            </w:pPr>
          </w:p>
        </w:tc>
      </w:tr>
      <w:tr w14:paraId="158B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bottom w:val="single" w:color="auto" w:sz="4" w:space="0"/>
              <w:right w:val="single" w:color="auto" w:sz="4" w:space="0"/>
            </w:tcBorders>
            <w:tcMar>
              <w:left w:w="28" w:type="dxa"/>
              <w:right w:w="28" w:type="dxa"/>
            </w:tcMar>
            <w:vAlign w:val="center"/>
          </w:tcPr>
          <w:p w14:paraId="1750440C">
            <w:pPr>
              <w:spacing w:line="24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7D4F3BC6">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B51CB4">
            <w:pPr>
              <w:spacing w:line="24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61B164F">
            <w:pPr>
              <w:spacing w:line="240" w:lineRule="auto"/>
              <w:jc w:val="center"/>
              <w:rPr>
                <w:rFonts w:ascii="仿宋_GB2312" w:hAnsi="仿宋" w:eastAsia="仿宋_GB2312" w:cs="仿宋"/>
                <w:sz w:val="24"/>
              </w:rPr>
            </w:pPr>
            <w:r>
              <w:rPr>
                <w:rFonts w:hint="eastAsia" w:ascii="仿宋_GB2312" w:hAnsi="仿宋" w:eastAsia="仿宋_GB2312" w:cs="仿宋"/>
                <w:sz w:val="24"/>
              </w:rPr>
              <w:t>6000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833A446">
            <w:pPr>
              <w:spacing w:line="240" w:lineRule="auto"/>
              <w:jc w:val="center"/>
              <w:rPr>
                <w:rFonts w:ascii="仿宋_GB2312" w:hAnsi="仿宋" w:eastAsia="仿宋_GB2312" w:cs="仿宋"/>
                <w:sz w:val="24"/>
              </w:rPr>
            </w:pPr>
            <w:r>
              <w:rPr>
                <w:rFonts w:hint="eastAsia" w:ascii="仿宋_GB2312" w:hAnsi="仿宋" w:eastAsia="仿宋_GB2312" w:cs="仿宋"/>
                <w:sz w:val="24"/>
              </w:rPr>
              <w:t>60%</w:t>
            </w:r>
          </w:p>
        </w:tc>
        <w:tc>
          <w:tcPr>
            <w:tcW w:w="2694" w:type="dxa"/>
            <w:vMerge w:val="continue"/>
            <w:tcBorders>
              <w:left w:val="single" w:color="auto" w:sz="4" w:space="0"/>
              <w:bottom w:val="single" w:color="auto" w:sz="4" w:space="0"/>
              <w:right w:val="single" w:color="auto" w:sz="4" w:space="0"/>
            </w:tcBorders>
            <w:tcMar>
              <w:left w:w="28" w:type="dxa"/>
              <w:right w:w="28" w:type="dxa"/>
            </w:tcMar>
            <w:vAlign w:val="center"/>
          </w:tcPr>
          <w:p w14:paraId="0031E787">
            <w:pPr>
              <w:spacing w:line="240" w:lineRule="auto"/>
              <w:rPr>
                <w:rFonts w:ascii="仿宋_GB2312" w:hAnsi="仿宋" w:eastAsia="仿宋_GB2312" w:cs="仿宋"/>
                <w:sz w:val="24"/>
              </w:rPr>
            </w:pPr>
          </w:p>
        </w:tc>
      </w:tr>
      <w:tr w14:paraId="2722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restart"/>
            <w:tcBorders>
              <w:top w:val="single" w:color="auto" w:sz="4" w:space="0"/>
              <w:left w:val="single" w:color="auto" w:sz="4" w:space="0"/>
              <w:right w:val="single" w:color="auto" w:sz="4" w:space="0"/>
            </w:tcBorders>
            <w:tcMar>
              <w:left w:w="28" w:type="dxa"/>
              <w:right w:w="28" w:type="dxa"/>
            </w:tcMar>
            <w:vAlign w:val="center"/>
          </w:tcPr>
          <w:p w14:paraId="7F5DF2D7">
            <w:pPr>
              <w:spacing w:line="240" w:lineRule="auto"/>
              <w:jc w:val="center"/>
              <w:rPr>
                <w:rFonts w:ascii="仿宋_GB2312" w:hAnsi="仿宋" w:eastAsia="仿宋_GB2312" w:cs="仿宋"/>
                <w:sz w:val="24"/>
              </w:rPr>
            </w:pPr>
            <w:r>
              <w:rPr>
                <w:rFonts w:hint="eastAsia" w:ascii="仿宋_GB2312" w:hAnsi="仿宋" w:eastAsia="仿宋_GB2312" w:cs="仿宋"/>
                <w:sz w:val="24"/>
              </w:rPr>
              <w:t>博士生</w:t>
            </w:r>
          </w:p>
          <w:p w14:paraId="2F728885">
            <w:pPr>
              <w:spacing w:line="24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57EC202D">
            <w:pPr>
              <w:spacing w:line="240" w:lineRule="auto"/>
              <w:jc w:val="center"/>
              <w:rPr>
                <w:rFonts w:ascii="仿宋_GB2312" w:hAnsi="仿宋" w:eastAsia="仿宋_GB2312" w:cs="仿宋"/>
                <w:sz w:val="24"/>
              </w:rPr>
            </w:pPr>
            <w:r>
              <w:rPr>
                <w:rFonts w:hint="eastAsia" w:ascii="仿宋_GB2312" w:hAnsi="仿宋" w:eastAsia="仿宋_GB2312" w:cs="仿宋"/>
                <w:sz w:val="24"/>
              </w:rPr>
              <w:t>一年级</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89B43CE">
            <w:pPr>
              <w:spacing w:line="240" w:lineRule="auto"/>
              <w:jc w:val="center"/>
              <w:rPr>
                <w:rFonts w:ascii="仿宋_GB2312" w:hAnsi="仿宋" w:eastAsia="仿宋_GB2312" w:cs="仿宋"/>
                <w:sz w:val="24"/>
              </w:rPr>
            </w:pPr>
            <w:r>
              <w:rPr>
                <w:rFonts w:hint="eastAsia" w:ascii="仿宋_GB2312" w:hAnsi="仿宋" w:eastAsia="仿宋_GB2312" w:cs="仿宋"/>
                <w:sz w:val="24"/>
              </w:rPr>
              <w:t>直博生</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784E711">
            <w:pPr>
              <w:spacing w:line="24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vMerge w:val="restart"/>
            <w:tcBorders>
              <w:top w:val="single" w:color="auto" w:sz="4" w:space="0"/>
              <w:left w:val="single" w:color="auto" w:sz="4" w:space="0"/>
              <w:right w:val="single" w:color="auto" w:sz="4" w:space="0"/>
            </w:tcBorders>
            <w:tcMar>
              <w:left w:w="28" w:type="dxa"/>
              <w:right w:w="28" w:type="dxa"/>
            </w:tcMar>
            <w:vAlign w:val="center"/>
          </w:tcPr>
          <w:p w14:paraId="60A1379D">
            <w:pPr>
              <w:spacing w:line="240" w:lineRule="auto"/>
              <w:jc w:val="center"/>
              <w:rPr>
                <w:rFonts w:ascii="仿宋_GB2312" w:hAnsi="仿宋" w:eastAsia="仿宋_GB2312" w:cs="仿宋"/>
                <w:sz w:val="24"/>
              </w:rPr>
            </w:pPr>
            <w:r>
              <w:rPr>
                <w:rFonts w:hint="eastAsia" w:ascii="仿宋_GB2312" w:hAnsi="仿宋" w:eastAsia="仿宋_GB2312" w:cs="仿宋"/>
                <w:sz w:val="24"/>
              </w:rPr>
              <w:t>100%</w:t>
            </w:r>
          </w:p>
        </w:tc>
        <w:tc>
          <w:tcPr>
            <w:tcW w:w="2694" w:type="dxa"/>
            <w:vMerge w:val="restart"/>
            <w:tcBorders>
              <w:top w:val="single" w:color="auto" w:sz="4" w:space="0"/>
              <w:left w:val="single" w:color="auto" w:sz="4" w:space="0"/>
              <w:right w:val="single" w:color="auto" w:sz="4" w:space="0"/>
            </w:tcBorders>
            <w:tcMar>
              <w:left w:w="28" w:type="dxa"/>
              <w:right w:w="28" w:type="dxa"/>
            </w:tcMar>
            <w:vAlign w:val="center"/>
          </w:tcPr>
          <w:p w14:paraId="23DF63F8">
            <w:pPr>
              <w:spacing w:line="240" w:lineRule="auto"/>
              <w:rPr>
                <w:rFonts w:ascii="仿宋_GB2312" w:hAnsi="仿宋" w:eastAsia="仿宋_GB2312" w:cs="仿宋"/>
                <w:sz w:val="24"/>
              </w:rPr>
            </w:pPr>
            <w:r>
              <w:rPr>
                <w:rFonts w:hint="eastAsia" w:ascii="仿宋_GB2312" w:hAnsi="仿宋" w:eastAsia="仿宋_GB2312" w:cs="仿宋"/>
                <w:sz w:val="24"/>
              </w:rPr>
              <w:t>1、全体全日制非定向博士生；</w:t>
            </w:r>
          </w:p>
          <w:p w14:paraId="4C0AE414">
            <w:pPr>
              <w:spacing w:line="240" w:lineRule="auto"/>
              <w:rPr>
                <w:rFonts w:ascii="仿宋_GB2312" w:hAnsi="仿宋" w:eastAsia="仿宋_GB2312" w:cs="仿宋"/>
                <w:sz w:val="24"/>
              </w:rPr>
            </w:pPr>
            <w:r>
              <w:rPr>
                <w:rFonts w:hint="eastAsia" w:ascii="仿宋_GB2312" w:hAnsi="仿宋" w:eastAsia="仿宋_GB2312" w:cs="仿宋"/>
                <w:sz w:val="24"/>
              </w:rPr>
              <w:t>2、直博生在二年级全部享受一等学业奖学金并可参评特等奖；</w:t>
            </w:r>
          </w:p>
          <w:p w14:paraId="3A762E06">
            <w:pPr>
              <w:spacing w:line="240" w:lineRule="auto"/>
              <w:rPr>
                <w:rFonts w:ascii="仿宋_GB2312" w:hAnsi="仿宋" w:eastAsia="仿宋_GB2312" w:cs="仿宋"/>
                <w:sz w:val="24"/>
              </w:rPr>
            </w:pPr>
            <w:r>
              <w:rPr>
                <w:rFonts w:hint="eastAsia" w:ascii="仿宋_GB2312" w:hAnsi="仿宋" w:eastAsia="仿宋_GB2312" w:cs="仿宋"/>
                <w:sz w:val="24"/>
              </w:rPr>
              <w:t>3、硕博连读“1+5”年制博士生在博士五年级、直博生在博士五、六年级与四年级博士生统一参评；</w:t>
            </w:r>
          </w:p>
          <w:p w14:paraId="58DCBBF0">
            <w:pPr>
              <w:spacing w:line="240" w:lineRule="auto"/>
              <w:rPr>
                <w:rFonts w:ascii="仿宋_GB2312" w:hAnsi="仿宋" w:eastAsia="仿宋_GB2312" w:cs="仿宋"/>
                <w:sz w:val="24"/>
              </w:rPr>
            </w:pPr>
            <w:r>
              <w:rPr>
                <w:rFonts w:hint="eastAsia" w:ascii="仿宋_GB2312" w:hAnsi="仿宋" w:eastAsia="仿宋_GB2312" w:cs="仿宋"/>
                <w:sz w:val="24"/>
              </w:rPr>
              <w:t>4、设置比例以具有同类型参评基本条件的人员为基数。</w:t>
            </w:r>
          </w:p>
        </w:tc>
      </w:tr>
      <w:tr w14:paraId="5EAD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7F804C6C">
            <w:pPr>
              <w:spacing w:line="24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7800BD46">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F6A11F4">
            <w:pPr>
              <w:spacing w:line="240" w:lineRule="auto"/>
              <w:jc w:val="center"/>
              <w:rPr>
                <w:rFonts w:ascii="仿宋_GB2312" w:hAnsi="仿宋" w:eastAsia="仿宋_GB2312" w:cs="仿宋"/>
                <w:sz w:val="24"/>
              </w:rPr>
            </w:pPr>
            <w:r>
              <w:rPr>
                <w:rFonts w:hint="eastAsia" w:ascii="仿宋_GB2312" w:hAnsi="仿宋" w:eastAsia="仿宋_GB2312" w:cs="仿宋"/>
                <w:sz w:val="24"/>
              </w:rPr>
              <w:t>其他</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33F8A4B">
            <w:pPr>
              <w:spacing w:line="240" w:lineRule="auto"/>
              <w:jc w:val="center"/>
              <w:rPr>
                <w:rFonts w:ascii="仿宋_GB2312" w:hAnsi="仿宋" w:eastAsia="仿宋_GB2312" w:cs="仿宋"/>
                <w:sz w:val="24"/>
              </w:rPr>
            </w:pPr>
            <w:r>
              <w:rPr>
                <w:rFonts w:hint="eastAsia" w:ascii="仿宋_GB2312" w:hAnsi="仿宋" w:eastAsia="仿宋_GB2312" w:cs="仿宋"/>
                <w:sz w:val="24"/>
              </w:rPr>
              <w:t>10000</w:t>
            </w:r>
          </w:p>
        </w:tc>
        <w:tc>
          <w:tcPr>
            <w:tcW w:w="1134" w:type="dxa"/>
            <w:vMerge w:val="continue"/>
            <w:tcBorders>
              <w:left w:val="single" w:color="auto" w:sz="4" w:space="0"/>
              <w:bottom w:val="single" w:color="auto" w:sz="4" w:space="0"/>
              <w:right w:val="single" w:color="auto" w:sz="4" w:space="0"/>
            </w:tcBorders>
            <w:tcMar>
              <w:left w:w="28" w:type="dxa"/>
              <w:right w:w="28" w:type="dxa"/>
            </w:tcMar>
            <w:vAlign w:val="center"/>
          </w:tcPr>
          <w:p w14:paraId="27A9321E">
            <w:pPr>
              <w:spacing w:line="240" w:lineRule="auto"/>
              <w:jc w:val="center"/>
              <w:rPr>
                <w:rFonts w:ascii="仿宋_GB2312" w:hAnsi="仿宋" w:eastAsia="仿宋_GB2312" w:cs="仿宋"/>
                <w:sz w:val="24"/>
              </w:rPr>
            </w:pPr>
          </w:p>
        </w:tc>
        <w:tc>
          <w:tcPr>
            <w:tcW w:w="2694" w:type="dxa"/>
            <w:vMerge w:val="continue"/>
            <w:tcBorders>
              <w:left w:val="single" w:color="auto" w:sz="4" w:space="0"/>
              <w:right w:val="single" w:color="auto" w:sz="4" w:space="0"/>
            </w:tcBorders>
            <w:tcMar>
              <w:left w:w="28" w:type="dxa"/>
              <w:right w:w="28" w:type="dxa"/>
            </w:tcMar>
            <w:vAlign w:val="center"/>
          </w:tcPr>
          <w:p w14:paraId="20F47EB2">
            <w:pPr>
              <w:spacing w:line="240" w:lineRule="auto"/>
              <w:rPr>
                <w:rFonts w:ascii="仿宋_GB2312" w:hAnsi="仿宋" w:eastAsia="仿宋_GB2312" w:cs="仿宋"/>
                <w:sz w:val="24"/>
              </w:rPr>
            </w:pPr>
          </w:p>
        </w:tc>
      </w:tr>
      <w:tr w14:paraId="1ACF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337D662C">
            <w:pPr>
              <w:spacing w:line="24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6CC58657">
            <w:pPr>
              <w:spacing w:line="240" w:lineRule="auto"/>
              <w:jc w:val="center"/>
              <w:rPr>
                <w:rFonts w:ascii="仿宋_GB2312" w:hAnsi="仿宋" w:eastAsia="仿宋_GB2312" w:cs="仿宋"/>
                <w:sz w:val="24"/>
              </w:rPr>
            </w:pPr>
            <w:r>
              <w:rPr>
                <w:rFonts w:hint="eastAsia" w:ascii="仿宋_GB2312" w:hAnsi="仿宋" w:eastAsia="仿宋_GB2312" w:cs="仿宋"/>
                <w:sz w:val="24"/>
              </w:rPr>
              <w:t>二年级</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0BFA812">
            <w:pPr>
              <w:spacing w:line="240" w:lineRule="auto"/>
              <w:jc w:val="center"/>
              <w:rPr>
                <w:rFonts w:ascii="仿宋_GB2312" w:hAnsi="仿宋" w:eastAsia="仿宋_GB2312" w:cs="仿宋"/>
                <w:sz w:val="24"/>
              </w:rPr>
            </w:pPr>
            <w:r>
              <w:rPr>
                <w:rFonts w:hint="eastAsia" w:ascii="仿宋_GB2312" w:hAnsi="仿宋" w:eastAsia="仿宋_GB2312" w:cs="仿宋"/>
                <w:sz w:val="24"/>
              </w:rPr>
              <w:t>直博生</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39FAD1C">
            <w:pPr>
              <w:spacing w:line="24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FC0B44F">
            <w:pPr>
              <w:spacing w:line="240" w:lineRule="auto"/>
              <w:jc w:val="center"/>
              <w:rPr>
                <w:rFonts w:ascii="仿宋_GB2312" w:hAnsi="仿宋" w:eastAsia="仿宋_GB2312" w:cs="仿宋"/>
                <w:sz w:val="24"/>
              </w:rPr>
            </w:pPr>
            <w:r>
              <w:rPr>
                <w:rFonts w:hint="eastAsia" w:ascii="仿宋_GB2312" w:hAnsi="仿宋" w:eastAsia="仿宋_GB2312" w:cs="仿宋"/>
                <w:sz w:val="24"/>
              </w:rPr>
              <w:t>100%</w:t>
            </w:r>
          </w:p>
        </w:tc>
        <w:tc>
          <w:tcPr>
            <w:tcW w:w="2694" w:type="dxa"/>
            <w:vMerge w:val="continue"/>
            <w:tcBorders>
              <w:left w:val="single" w:color="auto" w:sz="4" w:space="0"/>
              <w:right w:val="single" w:color="auto" w:sz="4" w:space="0"/>
            </w:tcBorders>
            <w:tcMar>
              <w:left w:w="28" w:type="dxa"/>
              <w:right w:w="28" w:type="dxa"/>
            </w:tcMar>
            <w:vAlign w:val="center"/>
          </w:tcPr>
          <w:p w14:paraId="3ED209D3">
            <w:pPr>
              <w:spacing w:line="240" w:lineRule="auto"/>
              <w:rPr>
                <w:rFonts w:ascii="仿宋_GB2312" w:hAnsi="仿宋" w:eastAsia="仿宋_GB2312" w:cs="仿宋"/>
                <w:sz w:val="24"/>
              </w:rPr>
            </w:pPr>
          </w:p>
        </w:tc>
      </w:tr>
      <w:tr w14:paraId="7306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2D9168DD">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3E70A54D">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2824B99">
            <w:pPr>
              <w:spacing w:line="240" w:lineRule="auto"/>
              <w:jc w:val="center"/>
              <w:rPr>
                <w:rFonts w:ascii="仿宋_GB2312" w:hAnsi="仿宋" w:eastAsia="仿宋_GB2312" w:cs="仿宋"/>
                <w:sz w:val="24"/>
              </w:rPr>
            </w:pPr>
            <w:r>
              <w:rPr>
                <w:rFonts w:hint="eastAsia" w:ascii="仿宋_GB2312" w:hAnsi="仿宋" w:eastAsia="仿宋_GB2312" w:cs="仿宋"/>
                <w:sz w:val="24"/>
              </w:rPr>
              <w:t>特等奖</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B9AF124">
            <w:pPr>
              <w:spacing w:line="240" w:lineRule="auto"/>
              <w:jc w:val="center"/>
              <w:rPr>
                <w:rFonts w:ascii="仿宋_GB2312" w:hAnsi="仿宋" w:eastAsia="仿宋_GB2312" w:cs="仿宋"/>
                <w:sz w:val="24"/>
              </w:rPr>
            </w:pPr>
            <w:r>
              <w:rPr>
                <w:rFonts w:hint="eastAsia" w:ascii="仿宋_GB2312" w:hAnsi="仿宋" w:eastAsia="仿宋_GB2312" w:cs="仿宋"/>
                <w:sz w:val="24"/>
              </w:rPr>
              <w:t>30000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221D3A3">
            <w:pPr>
              <w:spacing w:line="240" w:lineRule="auto"/>
              <w:jc w:val="center"/>
              <w:rPr>
                <w:rFonts w:ascii="仿宋_GB2312" w:hAnsi="仿宋" w:eastAsia="仿宋_GB2312" w:cs="仿宋"/>
                <w:sz w:val="24"/>
              </w:rPr>
            </w:pPr>
            <w:r>
              <w:rPr>
                <w:rFonts w:hint="eastAsia" w:ascii="仿宋_GB2312" w:hAnsi="仿宋" w:eastAsia="仿宋_GB2312" w:cs="仿宋"/>
                <w:sz w:val="24"/>
              </w:rPr>
              <w:t>5%</w:t>
            </w:r>
          </w:p>
        </w:tc>
        <w:tc>
          <w:tcPr>
            <w:tcW w:w="2694" w:type="dxa"/>
            <w:vMerge w:val="continue"/>
            <w:tcBorders>
              <w:left w:val="single" w:color="auto" w:sz="4" w:space="0"/>
              <w:right w:val="single" w:color="auto" w:sz="4" w:space="0"/>
            </w:tcBorders>
            <w:tcMar>
              <w:left w:w="28" w:type="dxa"/>
              <w:right w:w="28" w:type="dxa"/>
            </w:tcMar>
            <w:vAlign w:val="center"/>
          </w:tcPr>
          <w:p w14:paraId="46C0F1BA">
            <w:pPr>
              <w:spacing w:line="240" w:lineRule="auto"/>
              <w:rPr>
                <w:rFonts w:ascii="仿宋_GB2312" w:hAnsi="仿宋" w:eastAsia="仿宋_GB2312" w:cs="仿宋"/>
                <w:sz w:val="24"/>
              </w:rPr>
            </w:pPr>
          </w:p>
        </w:tc>
      </w:tr>
      <w:tr w14:paraId="0B42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50FC1082">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71122BF5">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12D42F3">
            <w:pPr>
              <w:spacing w:line="24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06E4251">
            <w:pPr>
              <w:spacing w:line="24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0F2CF54">
            <w:pPr>
              <w:spacing w:line="240" w:lineRule="auto"/>
              <w:jc w:val="center"/>
              <w:rPr>
                <w:rFonts w:ascii="仿宋_GB2312" w:hAnsi="仿宋" w:eastAsia="仿宋_GB2312" w:cs="仿宋"/>
                <w:sz w:val="24"/>
              </w:rPr>
            </w:pPr>
            <w:r>
              <w:rPr>
                <w:rFonts w:hint="eastAsia" w:ascii="仿宋_GB2312" w:hAnsi="仿宋" w:eastAsia="仿宋_GB2312" w:cs="仿宋"/>
                <w:sz w:val="24"/>
              </w:rPr>
              <w:t>10%</w:t>
            </w:r>
          </w:p>
        </w:tc>
        <w:tc>
          <w:tcPr>
            <w:tcW w:w="2694" w:type="dxa"/>
            <w:vMerge w:val="continue"/>
            <w:tcBorders>
              <w:left w:val="single" w:color="auto" w:sz="4" w:space="0"/>
              <w:right w:val="single" w:color="auto" w:sz="4" w:space="0"/>
            </w:tcBorders>
            <w:tcMar>
              <w:left w:w="28" w:type="dxa"/>
              <w:right w:w="28" w:type="dxa"/>
            </w:tcMar>
            <w:vAlign w:val="center"/>
          </w:tcPr>
          <w:p w14:paraId="6C476D8A">
            <w:pPr>
              <w:spacing w:line="240" w:lineRule="auto"/>
              <w:rPr>
                <w:rFonts w:ascii="仿宋_GB2312" w:hAnsi="仿宋" w:eastAsia="仿宋_GB2312" w:cs="仿宋"/>
                <w:sz w:val="24"/>
              </w:rPr>
            </w:pPr>
          </w:p>
        </w:tc>
      </w:tr>
      <w:tr w14:paraId="28FD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05CC219E">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033261B3">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EDAC574">
            <w:pPr>
              <w:spacing w:line="24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9D5BA2C">
            <w:pPr>
              <w:spacing w:line="240" w:lineRule="auto"/>
              <w:jc w:val="center"/>
              <w:rPr>
                <w:rFonts w:ascii="仿宋_GB2312" w:hAnsi="仿宋" w:eastAsia="仿宋_GB2312" w:cs="仿宋"/>
                <w:sz w:val="24"/>
              </w:rPr>
            </w:pPr>
            <w:r>
              <w:rPr>
                <w:rFonts w:hint="eastAsia" w:ascii="仿宋_GB2312" w:hAnsi="仿宋" w:eastAsia="仿宋_GB2312" w:cs="仿宋"/>
                <w:sz w:val="24"/>
              </w:rPr>
              <w:t>15000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7542252">
            <w:pPr>
              <w:spacing w:line="240" w:lineRule="auto"/>
              <w:jc w:val="center"/>
              <w:rPr>
                <w:rFonts w:ascii="仿宋_GB2312" w:hAnsi="仿宋" w:eastAsia="仿宋_GB2312" w:cs="仿宋"/>
                <w:sz w:val="24"/>
              </w:rPr>
            </w:pPr>
            <w:r>
              <w:rPr>
                <w:rFonts w:hint="eastAsia" w:ascii="仿宋_GB2312" w:hAnsi="仿宋" w:eastAsia="仿宋_GB2312" w:cs="仿宋"/>
                <w:sz w:val="24"/>
              </w:rPr>
              <w:t>25%</w:t>
            </w:r>
          </w:p>
        </w:tc>
        <w:tc>
          <w:tcPr>
            <w:tcW w:w="2694" w:type="dxa"/>
            <w:vMerge w:val="continue"/>
            <w:tcBorders>
              <w:left w:val="single" w:color="auto" w:sz="4" w:space="0"/>
              <w:right w:val="single" w:color="auto" w:sz="4" w:space="0"/>
            </w:tcBorders>
            <w:tcMar>
              <w:left w:w="28" w:type="dxa"/>
              <w:right w:w="28" w:type="dxa"/>
            </w:tcMar>
            <w:vAlign w:val="center"/>
          </w:tcPr>
          <w:p w14:paraId="01B572B1">
            <w:pPr>
              <w:spacing w:line="240" w:lineRule="auto"/>
              <w:rPr>
                <w:rFonts w:ascii="仿宋_GB2312" w:hAnsi="仿宋" w:eastAsia="仿宋_GB2312" w:cs="仿宋"/>
                <w:sz w:val="24"/>
              </w:rPr>
            </w:pPr>
          </w:p>
        </w:tc>
      </w:tr>
      <w:tr w14:paraId="3CD4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270AA940">
            <w:pPr>
              <w:spacing w:line="24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5F0BD124">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634A90">
            <w:pPr>
              <w:spacing w:line="24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3305325">
            <w:pPr>
              <w:spacing w:line="240" w:lineRule="auto"/>
              <w:jc w:val="center"/>
              <w:rPr>
                <w:rFonts w:ascii="仿宋_GB2312" w:hAnsi="仿宋" w:eastAsia="仿宋_GB2312" w:cs="仿宋"/>
                <w:sz w:val="24"/>
              </w:rPr>
            </w:pPr>
            <w:r>
              <w:rPr>
                <w:rFonts w:hint="eastAsia" w:ascii="仿宋_GB2312" w:hAnsi="仿宋" w:eastAsia="仿宋_GB2312" w:cs="仿宋"/>
                <w:sz w:val="24"/>
              </w:rPr>
              <w:t>10000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FF2B4AB">
            <w:pPr>
              <w:spacing w:line="240" w:lineRule="auto"/>
              <w:jc w:val="center"/>
              <w:rPr>
                <w:rFonts w:ascii="仿宋_GB2312" w:hAnsi="仿宋" w:eastAsia="仿宋_GB2312" w:cs="仿宋"/>
                <w:sz w:val="24"/>
              </w:rPr>
            </w:pPr>
            <w:r>
              <w:rPr>
                <w:rFonts w:hint="eastAsia" w:ascii="仿宋_GB2312" w:hAnsi="仿宋" w:eastAsia="仿宋_GB2312" w:cs="仿宋"/>
                <w:sz w:val="24"/>
              </w:rPr>
              <w:t>60%</w:t>
            </w:r>
          </w:p>
        </w:tc>
        <w:tc>
          <w:tcPr>
            <w:tcW w:w="2694" w:type="dxa"/>
            <w:vMerge w:val="continue"/>
            <w:tcBorders>
              <w:left w:val="single" w:color="auto" w:sz="4" w:space="0"/>
              <w:right w:val="single" w:color="auto" w:sz="4" w:space="0"/>
            </w:tcBorders>
            <w:tcMar>
              <w:left w:w="28" w:type="dxa"/>
              <w:right w:w="28" w:type="dxa"/>
            </w:tcMar>
            <w:vAlign w:val="center"/>
          </w:tcPr>
          <w:p w14:paraId="3D09D246">
            <w:pPr>
              <w:spacing w:line="240" w:lineRule="auto"/>
              <w:rPr>
                <w:rFonts w:ascii="仿宋_GB2312" w:hAnsi="仿宋" w:eastAsia="仿宋_GB2312" w:cs="仿宋"/>
                <w:sz w:val="24"/>
              </w:rPr>
            </w:pPr>
          </w:p>
        </w:tc>
      </w:tr>
      <w:tr w14:paraId="45DB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48" w:type="dxa"/>
            <w:vMerge w:val="continue"/>
            <w:tcBorders>
              <w:left w:val="single" w:color="auto" w:sz="4" w:space="0"/>
              <w:right w:val="single" w:color="auto" w:sz="4" w:space="0"/>
            </w:tcBorders>
            <w:tcMar>
              <w:left w:w="28" w:type="dxa"/>
              <w:right w:w="28" w:type="dxa"/>
            </w:tcMar>
            <w:vAlign w:val="center"/>
          </w:tcPr>
          <w:p w14:paraId="4113EA14">
            <w:pPr>
              <w:spacing w:line="240" w:lineRule="auto"/>
              <w:jc w:val="center"/>
              <w:rPr>
                <w:rFonts w:ascii="仿宋_GB2312" w:hAnsi="仿宋" w:eastAsia="仿宋_GB2312" w:cs="仿宋"/>
                <w:sz w:val="24"/>
              </w:rPr>
            </w:pPr>
          </w:p>
        </w:tc>
        <w:tc>
          <w:tcPr>
            <w:tcW w:w="1352" w:type="dxa"/>
            <w:vMerge w:val="restart"/>
            <w:tcBorders>
              <w:top w:val="single" w:color="auto" w:sz="4" w:space="0"/>
              <w:left w:val="single" w:color="auto" w:sz="4" w:space="0"/>
              <w:right w:val="single" w:color="auto" w:sz="4" w:space="0"/>
            </w:tcBorders>
            <w:tcMar>
              <w:left w:w="28" w:type="dxa"/>
              <w:right w:w="28" w:type="dxa"/>
            </w:tcMar>
            <w:vAlign w:val="center"/>
          </w:tcPr>
          <w:p w14:paraId="3407E1C6">
            <w:pPr>
              <w:spacing w:line="240" w:lineRule="auto"/>
              <w:jc w:val="center"/>
              <w:rPr>
                <w:rFonts w:ascii="仿宋_GB2312" w:hAnsi="仿宋" w:eastAsia="仿宋_GB2312" w:cs="仿宋"/>
                <w:sz w:val="24"/>
              </w:rPr>
            </w:pPr>
            <w:r>
              <w:rPr>
                <w:rFonts w:hint="eastAsia" w:ascii="仿宋_GB2312" w:hAnsi="仿宋" w:eastAsia="仿宋_GB2312" w:cs="仿宋"/>
                <w:sz w:val="24"/>
              </w:rPr>
              <w:t>三年级及</w:t>
            </w:r>
          </w:p>
          <w:p w14:paraId="2D6D40F9">
            <w:pPr>
              <w:spacing w:line="240" w:lineRule="auto"/>
              <w:jc w:val="center"/>
              <w:rPr>
                <w:rFonts w:ascii="仿宋_GB2312" w:hAnsi="仿宋" w:eastAsia="仿宋_GB2312" w:cs="仿宋"/>
                <w:sz w:val="24"/>
              </w:rPr>
            </w:pPr>
            <w:r>
              <w:rPr>
                <w:rFonts w:hint="eastAsia" w:ascii="仿宋_GB2312" w:hAnsi="仿宋" w:eastAsia="仿宋_GB2312" w:cs="仿宋"/>
                <w:sz w:val="24"/>
              </w:rPr>
              <w:t>以上</w:t>
            </w: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3625457">
            <w:pPr>
              <w:spacing w:line="240" w:lineRule="auto"/>
              <w:jc w:val="center"/>
              <w:rPr>
                <w:rFonts w:ascii="仿宋_GB2312" w:hAnsi="仿宋" w:eastAsia="仿宋_GB2312" w:cs="仿宋"/>
                <w:sz w:val="24"/>
              </w:rPr>
            </w:pPr>
            <w:r>
              <w:rPr>
                <w:rFonts w:hint="eastAsia" w:ascii="仿宋_GB2312" w:hAnsi="仿宋" w:eastAsia="仿宋_GB2312" w:cs="仿宋"/>
                <w:sz w:val="24"/>
              </w:rPr>
              <w:t>特等奖</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E4A7D2C">
            <w:pPr>
              <w:spacing w:line="240" w:lineRule="auto"/>
              <w:jc w:val="center"/>
              <w:rPr>
                <w:rFonts w:ascii="仿宋_GB2312" w:hAnsi="仿宋" w:eastAsia="仿宋_GB2312" w:cs="仿宋"/>
                <w:sz w:val="24"/>
              </w:rPr>
            </w:pPr>
            <w:r>
              <w:rPr>
                <w:rFonts w:hint="eastAsia" w:ascii="仿宋_GB2312" w:hAnsi="仿宋" w:eastAsia="仿宋_GB2312" w:cs="仿宋"/>
                <w:sz w:val="24"/>
              </w:rPr>
              <w:t>30000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AB0EC96">
            <w:pPr>
              <w:spacing w:line="240" w:lineRule="auto"/>
              <w:jc w:val="center"/>
              <w:rPr>
                <w:rFonts w:ascii="仿宋_GB2312" w:hAnsi="仿宋" w:eastAsia="仿宋_GB2312" w:cs="仿宋"/>
                <w:sz w:val="24"/>
              </w:rPr>
            </w:pPr>
            <w:r>
              <w:rPr>
                <w:rFonts w:hint="eastAsia" w:ascii="仿宋_GB2312" w:hAnsi="仿宋" w:eastAsia="仿宋_GB2312" w:cs="仿宋"/>
                <w:sz w:val="24"/>
              </w:rPr>
              <w:t>5%</w:t>
            </w:r>
          </w:p>
        </w:tc>
        <w:tc>
          <w:tcPr>
            <w:tcW w:w="2694" w:type="dxa"/>
            <w:vMerge w:val="continue"/>
            <w:tcBorders>
              <w:left w:val="single" w:color="auto" w:sz="4" w:space="0"/>
              <w:right w:val="single" w:color="auto" w:sz="4" w:space="0"/>
            </w:tcBorders>
            <w:tcMar>
              <w:left w:w="28" w:type="dxa"/>
              <w:right w:w="28" w:type="dxa"/>
            </w:tcMar>
            <w:vAlign w:val="center"/>
          </w:tcPr>
          <w:p w14:paraId="4070E3AD">
            <w:pPr>
              <w:spacing w:line="240" w:lineRule="auto"/>
              <w:rPr>
                <w:rFonts w:ascii="仿宋_GB2312" w:hAnsi="仿宋" w:eastAsia="仿宋_GB2312" w:cs="仿宋"/>
                <w:sz w:val="24"/>
              </w:rPr>
            </w:pPr>
          </w:p>
        </w:tc>
      </w:tr>
      <w:tr w14:paraId="77C0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042599C8">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31893C6A">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8DF6F2B">
            <w:pPr>
              <w:spacing w:line="240" w:lineRule="auto"/>
              <w:jc w:val="center"/>
              <w:rPr>
                <w:rFonts w:ascii="仿宋_GB2312" w:hAnsi="仿宋" w:eastAsia="仿宋_GB2312" w:cs="仿宋"/>
                <w:sz w:val="24"/>
              </w:rPr>
            </w:pPr>
            <w:r>
              <w:rPr>
                <w:rFonts w:hint="eastAsia" w:ascii="仿宋_GB2312" w:hAnsi="仿宋" w:eastAsia="仿宋_GB2312" w:cs="仿宋"/>
                <w:sz w:val="24"/>
              </w:rPr>
              <w:t>一等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EB8BB75">
            <w:pPr>
              <w:spacing w:line="240" w:lineRule="auto"/>
              <w:jc w:val="center"/>
              <w:rPr>
                <w:rFonts w:ascii="仿宋_GB2312" w:hAnsi="仿宋" w:eastAsia="仿宋_GB2312" w:cs="仿宋"/>
                <w:sz w:val="24"/>
              </w:rPr>
            </w:pPr>
            <w:r>
              <w:rPr>
                <w:rFonts w:hint="eastAsia" w:ascii="仿宋_GB2312" w:hAnsi="仿宋" w:eastAsia="仿宋_GB2312" w:cs="仿宋"/>
                <w:sz w:val="24"/>
              </w:rPr>
              <w:t>20000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FFC54A3">
            <w:pPr>
              <w:spacing w:line="240" w:lineRule="auto"/>
              <w:jc w:val="center"/>
              <w:rPr>
                <w:rFonts w:ascii="仿宋_GB2312" w:hAnsi="仿宋" w:eastAsia="仿宋_GB2312" w:cs="仿宋"/>
                <w:sz w:val="24"/>
              </w:rPr>
            </w:pPr>
            <w:r>
              <w:rPr>
                <w:rFonts w:hint="eastAsia" w:ascii="仿宋_GB2312" w:hAnsi="仿宋" w:eastAsia="仿宋_GB2312" w:cs="仿宋"/>
                <w:sz w:val="24"/>
              </w:rPr>
              <w:t>10%</w:t>
            </w:r>
          </w:p>
        </w:tc>
        <w:tc>
          <w:tcPr>
            <w:tcW w:w="2694" w:type="dxa"/>
            <w:vMerge w:val="continue"/>
            <w:tcBorders>
              <w:left w:val="single" w:color="auto" w:sz="4" w:space="0"/>
              <w:right w:val="single" w:color="auto" w:sz="4" w:space="0"/>
            </w:tcBorders>
            <w:tcMar>
              <w:left w:w="28" w:type="dxa"/>
              <w:right w:w="28" w:type="dxa"/>
            </w:tcMar>
            <w:vAlign w:val="center"/>
          </w:tcPr>
          <w:p w14:paraId="0E47E8F4">
            <w:pPr>
              <w:spacing w:line="240" w:lineRule="auto"/>
              <w:rPr>
                <w:rFonts w:ascii="仿宋_GB2312" w:hAnsi="仿宋" w:eastAsia="仿宋_GB2312" w:cs="仿宋"/>
                <w:sz w:val="24"/>
              </w:rPr>
            </w:pPr>
          </w:p>
        </w:tc>
      </w:tr>
      <w:tr w14:paraId="6619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right w:val="single" w:color="auto" w:sz="4" w:space="0"/>
            </w:tcBorders>
            <w:tcMar>
              <w:left w:w="28" w:type="dxa"/>
              <w:right w:w="28" w:type="dxa"/>
            </w:tcMar>
            <w:vAlign w:val="center"/>
          </w:tcPr>
          <w:p w14:paraId="32531AFC">
            <w:pPr>
              <w:spacing w:line="240" w:lineRule="auto"/>
              <w:jc w:val="center"/>
              <w:rPr>
                <w:rFonts w:ascii="仿宋_GB2312" w:hAnsi="仿宋" w:eastAsia="仿宋_GB2312" w:cs="仿宋"/>
                <w:sz w:val="24"/>
              </w:rPr>
            </w:pPr>
          </w:p>
        </w:tc>
        <w:tc>
          <w:tcPr>
            <w:tcW w:w="1352" w:type="dxa"/>
            <w:vMerge w:val="continue"/>
            <w:tcBorders>
              <w:left w:val="single" w:color="auto" w:sz="4" w:space="0"/>
              <w:right w:val="single" w:color="auto" w:sz="4" w:space="0"/>
            </w:tcBorders>
            <w:tcMar>
              <w:left w:w="28" w:type="dxa"/>
              <w:right w:w="28" w:type="dxa"/>
            </w:tcMar>
            <w:vAlign w:val="center"/>
          </w:tcPr>
          <w:p w14:paraId="393EF7B6">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FB1C381">
            <w:pPr>
              <w:spacing w:line="240" w:lineRule="auto"/>
              <w:jc w:val="center"/>
              <w:rPr>
                <w:rFonts w:ascii="仿宋_GB2312" w:hAnsi="仿宋" w:eastAsia="仿宋_GB2312" w:cs="仿宋"/>
                <w:sz w:val="24"/>
              </w:rPr>
            </w:pPr>
            <w:r>
              <w:rPr>
                <w:rFonts w:hint="eastAsia" w:ascii="仿宋_GB2312" w:hAnsi="仿宋" w:eastAsia="仿宋_GB2312" w:cs="仿宋"/>
                <w:sz w:val="24"/>
              </w:rPr>
              <w:t>二等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1A60328">
            <w:pPr>
              <w:spacing w:line="240" w:lineRule="auto"/>
              <w:jc w:val="center"/>
              <w:rPr>
                <w:rFonts w:ascii="仿宋_GB2312" w:hAnsi="仿宋" w:eastAsia="仿宋_GB2312" w:cs="仿宋"/>
                <w:sz w:val="24"/>
              </w:rPr>
            </w:pPr>
            <w:r>
              <w:rPr>
                <w:rFonts w:hint="eastAsia" w:ascii="仿宋_GB2312" w:hAnsi="仿宋" w:eastAsia="仿宋_GB2312" w:cs="仿宋"/>
                <w:sz w:val="24"/>
              </w:rPr>
              <w:t>15000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8D3E075">
            <w:pPr>
              <w:spacing w:line="240" w:lineRule="auto"/>
              <w:jc w:val="center"/>
              <w:rPr>
                <w:rFonts w:ascii="仿宋_GB2312" w:hAnsi="仿宋" w:eastAsia="仿宋_GB2312" w:cs="仿宋"/>
                <w:sz w:val="24"/>
              </w:rPr>
            </w:pPr>
            <w:r>
              <w:rPr>
                <w:rFonts w:hint="eastAsia" w:ascii="仿宋_GB2312" w:hAnsi="仿宋" w:eastAsia="仿宋_GB2312" w:cs="仿宋"/>
                <w:sz w:val="24"/>
              </w:rPr>
              <w:t>25%</w:t>
            </w:r>
          </w:p>
        </w:tc>
        <w:tc>
          <w:tcPr>
            <w:tcW w:w="2694" w:type="dxa"/>
            <w:vMerge w:val="continue"/>
            <w:tcBorders>
              <w:left w:val="single" w:color="auto" w:sz="4" w:space="0"/>
              <w:right w:val="single" w:color="auto" w:sz="4" w:space="0"/>
            </w:tcBorders>
            <w:tcMar>
              <w:left w:w="28" w:type="dxa"/>
              <w:right w:w="28" w:type="dxa"/>
            </w:tcMar>
            <w:vAlign w:val="center"/>
          </w:tcPr>
          <w:p w14:paraId="7356DAEB">
            <w:pPr>
              <w:spacing w:line="240" w:lineRule="auto"/>
              <w:rPr>
                <w:rFonts w:ascii="仿宋_GB2312" w:hAnsi="仿宋" w:eastAsia="仿宋_GB2312" w:cs="仿宋"/>
                <w:sz w:val="24"/>
              </w:rPr>
            </w:pPr>
          </w:p>
        </w:tc>
      </w:tr>
      <w:tr w14:paraId="6E99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dxa"/>
            <w:vMerge w:val="continue"/>
            <w:tcBorders>
              <w:left w:val="single" w:color="auto" w:sz="4" w:space="0"/>
              <w:bottom w:val="single" w:color="auto" w:sz="4" w:space="0"/>
              <w:right w:val="single" w:color="auto" w:sz="4" w:space="0"/>
            </w:tcBorders>
            <w:tcMar>
              <w:left w:w="28" w:type="dxa"/>
              <w:right w:w="28" w:type="dxa"/>
            </w:tcMar>
            <w:vAlign w:val="center"/>
          </w:tcPr>
          <w:p w14:paraId="7450A80C">
            <w:pPr>
              <w:spacing w:line="240" w:lineRule="auto"/>
              <w:jc w:val="center"/>
              <w:rPr>
                <w:rFonts w:ascii="仿宋_GB2312" w:hAnsi="仿宋" w:eastAsia="仿宋_GB2312" w:cs="仿宋"/>
                <w:sz w:val="24"/>
              </w:rPr>
            </w:pPr>
          </w:p>
        </w:tc>
        <w:tc>
          <w:tcPr>
            <w:tcW w:w="1352" w:type="dxa"/>
            <w:vMerge w:val="continue"/>
            <w:tcBorders>
              <w:left w:val="single" w:color="auto" w:sz="4" w:space="0"/>
              <w:bottom w:val="single" w:color="auto" w:sz="4" w:space="0"/>
              <w:right w:val="single" w:color="auto" w:sz="4" w:space="0"/>
            </w:tcBorders>
            <w:tcMar>
              <w:left w:w="28" w:type="dxa"/>
              <w:right w:w="28" w:type="dxa"/>
            </w:tcMar>
            <w:vAlign w:val="center"/>
          </w:tcPr>
          <w:p w14:paraId="554BD396">
            <w:pPr>
              <w:spacing w:line="240" w:lineRule="auto"/>
              <w:jc w:val="center"/>
              <w:rPr>
                <w:rFonts w:ascii="仿宋_GB2312" w:hAnsi="仿宋" w:eastAsia="仿宋_GB2312" w:cs="仿宋"/>
                <w:sz w:val="24"/>
              </w:rPr>
            </w:pPr>
          </w:p>
        </w:tc>
        <w:tc>
          <w:tcPr>
            <w:tcW w:w="14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9010BD0">
            <w:pPr>
              <w:spacing w:line="240" w:lineRule="auto"/>
              <w:jc w:val="center"/>
              <w:rPr>
                <w:rFonts w:ascii="仿宋_GB2312" w:hAnsi="仿宋" w:eastAsia="仿宋_GB2312" w:cs="仿宋"/>
                <w:sz w:val="24"/>
              </w:rPr>
            </w:pPr>
            <w:r>
              <w:rPr>
                <w:rFonts w:hint="eastAsia" w:ascii="仿宋_GB2312" w:hAnsi="仿宋" w:eastAsia="仿宋_GB2312" w:cs="仿宋"/>
                <w:sz w:val="24"/>
              </w:rPr>
              <w:t>三等</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82F211A">
            <w:pPr>
              <w:spacing w:line="240" w:lineRule="auto"/>
              <w:jc w:val="center"/>
              <w:rPr>
                <w:rFonts w:ascii="仿宋_GB2312" w:hAnsi="仿宋" w:eastAsia="仿宋_GB2312" w:cs="仿宋"/>
                <w:sz w:val="24"/>
              </w:rPr>
            </w:pPr>
            <w:r>
              <w:rPr>
                <w:rFonts w:hint="eastAsia" w:ascii="仿宋_GB2312" w:hAnsi="仿宋" w:eastAsia="仿宋_GB2312" w:cs="仿宋"/>
                <w:sz w:val="24"/>
              </w:rPr>
              <w:t>10000</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15A38E">
            <w:pPr>
              <w:spacing w:line="240" w:lineRule="auto"/>
              <w:jc w:val="center"/>
              <w:rPr>
                <w:rFonts w:ascii="仿宋_GB2312" w:hAnsi="仿宋" w:eastAsia="仿宋_GB2312" w:cs="仿宋"/>
                <w:sz w:val="24"/>
              </w:rPr>
            </w:pPr>
            <w:r>
              <w:rPr>
                <w:rFonts w:hint="eastAsia" w:ascii="仿宋_GB2312" w:hAnsi="仿宋" w:eastAsia="仿宋_GB2312" w:cs="仿宋"/>
                <w:sz w:val="24"/>
              </w:rPr>
              <w:t>60%</w:t>
            </w:r>
          </w:p>
        </w:tc>
        <w:tc>
          <w:tcPr>
            <w:tcW w:w="2694" w:type="dxa"/>
            <w:vMerge w:val="continue"/>
            <w:tcBorders>
              <w:left w:val="single" w:color="auto" w:sz="4" w:space="0"/>
              <w:bottom w:val="single" w:color="auto" w:sz="4" w:space="0"/>
              <w:right w:val="single" w:color="auto" w:sz="4" w:space="0"/>
            </w:tcBorders>
            <w:tcMar>
              <w:left w:w="28" w:type="dxa"/>
              <w:right w:w="28" w:type="dxa"/>
            </w:tcMar>
            <w:vAlign w:val="center"/>
          </w:tcPr>
          <w:p w14:paraId="503078DE">
            <w:pPr>
              <w:spacing w:line="240" w:lineRule="auto"/>
              <w:rPr>
                <w:rFonts w:ascii="仿宋_GB2312" w:hAnsi="仿宋" w:eastAsia="仿宋_GB2312" w:cs="仿宋"/>
                <w:sz w:val="24"/>
              </w:rPr>
            </w:pPr>
          </w:p>
        </w:tc>
      </w:tr>
    </w:tbl>
    <w:p w14:paraId="1C7E8E1E">
      <w:pPr>
        <w:spacing w:before="156" w:beforeLines="50"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第三条 </w:t>
      </w:r>
      <w:r>
        <w:rPr>
          <w:rFonts w:hint="eastAsia" w:ascii="仿宋_GB2312" w:hAnsi="仿宋" w:eastAsia="仿宋_GB2312" w:cs="仿宋"/>
          <w:sz w:val="32"/>
          <w:szCs w:val="32"/>
        </w:rPr>
        <w:t>申请的基本条件：</w:t>
      </w:r>
    </w:p>
    <w:p w14:paraId="3E1EC5A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（一）全日制非定向在校研究生及少数民族骨干计划中非在职的定向研究生；</w:t>
      </w:r>
    </w:p>
    <w:p w14:paraId="3D92613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（二）热爱社会主义祖国，拥护中国共产党的领导；</w:t>
      </w:r>
    </w:p>
    <w:p w14:paraId="33A7DC30">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（三）遵守宪法和法律，遵守高等学校规章制度；</w:t>
      </w:r>
    </w:p>
    <w:p w14:paraId="49B6DE2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（四）诚实守信，品学兼优；</w:t>
      </w:r>
    </w:p>
    <w:p w14:paraId="07763BCB">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（五）积极参与科学研究、社会实践及学校学院组织的各项活动；</w:t>
      </w:r>
    </w:p>
    <w:p w14:paraId="5DE08D3F">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（六）按学校规定报到、注册并缴纳学费。</w:t>
      </w:r>
    </w:p>
    <w:p w14:paraId="0A979410">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第四条 </w:t>
      </w:r>
      <w:r>
        <w:rPr>
          <w:rFonts w:hint="eastAsia" w:ascii="仿宋_GB2312" w:hAnsi="仿宋" w:eastAsia="仿宋_GB2312" w:cs="仿宋"/>
          <w:sz w:val="32"/>
          <w:szCs w:val="32"/>
        </w:rPr>
        <w:t>有以下情况之一者一律取消当年研究生学业奖学金参评资格：</w:t>
      </w:r>
    </w:p>
    <w:p w14:paraId="7417EC0C">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（一）有违规违纪行为，在学校处分期内者；</w:t>
      </w:r>
    </w:p>
    <w:p w14:paraId="54C7781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（二）2022年秋季学期及以后入学的研究生课程学习和其他培养环节有不合格者；</w:t>
      </w:r>
    </w:p>
    <w:p w14:paraId="03566A8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（三）学术行为不端着；</w:t>
      </w:r>
    </w:p>
    <w:p w14:paraId="2540F5D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（四）在科研工作中造成重大事故及损失者；</w:t>
      </w:r>
    </w:p>
    <w:p w14:paraId="4824E3B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（五）本人未提出申请者；</w:t>
      </w:r>
    </w:p>
    <w:p w14:paraId="4A3FF749">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（六）其他应该取消参评资格的情况。</w:t>
      </w:r>
    </w:p>
    <w:p w14:paraId="12FE7A46">
      <w:pPr>
        <w:spacing w:line="360" w:lineRule="auto"/>
        <w:jc w:val="center"/>
        <w:rPr>
          <w:rFonts w:ascii="黑体" w:hAnsi="黑体" w:eastAsia="黑体" w:cs="仿宋"/>
          <w:sz w:val="32"/>
          <w:szCs w:val="32"/>
        </w:rPr>
      </w:pPr>
      <w:r>
        <w:rPr>
          <w:rFonts w:hint="eastAsia" w:ascii="黑体" w:hAnsi="黑体" w:eastAsia="黑体" w:cs="仿宋"/>
          <w:sz w:val="32"/>
          <w:szCs w:val="32"/>
        </w:rPr>
        <w:t>第三章  评选办法</w:t>
      </w:r>
    </w:p>
    <w:p w14:paraId="47A57F3C">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sz w:val="32"/>
          <w:szCs w:val="32"/>
        </w:rPr>
        <w:t xml:space="preserve">第五条 </w:t>
      </w:r>
      <w:r>
        <w:rPr>
          <w:rFonts w:hint="eastAsia" w:ascii="仿宋_GB2312" w:hAnsi="仿宋" w:eastAsia="仿宋_GB2312" w:cs="仿宋"/>
          <w:sz w:val="32"/>
          <w:szCs w:val="32"/>
        </w:rPr>
        <w:t>硕士生学业奖学金分年级评定办法</w:t>
      </w:r>
    </w:p>
    <w:p w14:paraId="330EF64B">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（一）硕士一年级</w:t>
      </w:r>
    </w:p>
    <w:p w14:paraId="600B5863">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按第二条享受对应学业奖学金。</w:t>
      </w:r>
    </w:p>
    <w:p w14:paraId="2E4AB03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（二）硕士二年级</w:t>
      </w:r>
    </w:p>
    <w:p w14:paraId="02564D07">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1、推免硕士生：享受一等学业奖学金；</w:t>
      </w:r>
    </w:p>
    <w:p w14:paraId="43D5B75F">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2、其他硕士生：以学位课程成绩加权平均分为主要依据，结合科研成果和日常表现的综合得分，划分等级评定；</w:t>
      </w:r>
    </w:p>
    <w:p w14:paraId="78E88955">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3、2022年秋季学期（不含）以前入学的研究生课程考核有不合格者（含推免生），一律只能享受三等类学业奖学金。</w:t>
      </w:r>
    </w:p>
    <w:p w14:paraId="0BE98036">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（三）硕士三年级</w:t>
      </w:r>
    </w:p>
    <w:p w14:paraId="17E854B0">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1、推免硕士生：享受一等学业奖学金；</w:t>
      </w:r>
    </w:p>
    <w:p w14:paraId="470598D6">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2、其他硕士生：综合科研成果、学术报告和日常表现的综合得分，划分等级评定；</w:t>
      </w:r>
    </w:p>
    <w:p w14:paraId="3CC52CB9">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3、未完成课程学习和规定学分，以及未完成开题报告、学术报告者（含推免生），一律只能享受三等学业奖学金。</w:t>
      </w:r>
    </w:p>
    <w:p w14:paraId="73518D05">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 xml:space="preserve">第六条 </w:t>
      </w:r>
      <w:r>
        <w:rPr>
          <w:rFonts w:hint="eastAsia" w:ascii="仿宋_GB2312" w:hAnsi="仿宋" w:eastAsia="仿宋_GB2312" w:cs="仿宋"/>
          <w:sz w:val="32"/>
          <w:szCs w:val="32"/>
        </w:rPr>
        <w:t>博士生学业奖学金分年级评定办法</w:t>
      </w:r>
    </w:p>
    <w:p w14:paraId="1A9BF487">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（一）博士一年级</w:t>
      </w:r>
    </w:p>
    <w:p w14:paraId="6C008E5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按第二条享受对应学业奖学金。</w:t>
      </w:r>
    </w:p>
    <w:p w14:paraId="6C60D13A">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（二）博士二年级</w:t>
      </w:r>
    </w:p>
    <w:p w14:paraId="59479E9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1、直博生：享受一等学业奖学金；</w:t>
      </w:r>
    </w:p>
    <w:p w14:paraId="2B9B34A9">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2、其他博士生：综合科研成果和日常表现的综合得分，划分等级评定；</w:t>
      </w:r>
    </w:p>
    <w:p w14:paraId="7C400744">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3、2022年秋季学期（不含）以前的研究生课程考核有不合格者，一律只能享受三等学业奖学金。</w:t>
      </w:r>
    </w:p>
    <w:p w14:paraId="3F63ADAB">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（三）博士三年级及以上年级</w:t>
      </w:r>
    </w:p>
    <w:p w14:paraId="6E0A5D99">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1、综合科研成果和日常表现的综合得分，划分等级评定；</w:t>
      </w:r>
    </w:p>
    <w:p w14:paraId="1EB5A6A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2、未完成课程学习和规定学分，以及未按研究生院规定完成开题报告者，一律只能享受三等学业奖学金。</w:t>
      </w:r>
    </w:p>
    <w:p w14:paraId="39C80A7F">
      <w:pPr>
        <w:spacing w:line="360" w:lineRule="auto"/>
        <w:jc w:val="center"/>
        <w:rPr>
          <w:rFonts w:ascii="黑体" w:hAnsi="黑体" w:eastAsia="黑体" w:cs="仿宋"/>
          <w:sz w:val="32"/>
          <w:szCs w:val="32"/>
        </w:rPr>
      </w:pPr>
      <w:r>
        <w:rPr>
          <w:rFonts w:hint="eastAsia" w:ascii="黑体" w:hAnsi="黑体" w:eastAsia="黑体" w:cs="仿宋"/>
          <w:sz w:val="32"/>
          <w:szCs w:val="32"/>
        </w:rPr>
        <w:t>第四章  评审组织机构</w:t>
      </w:r>
    </w:p>
    <w:p w14:paraId="4A478733">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第七条</w:t>
      </w:r>
      <w:r>
        <w:rPr>
          <w:rFonts w:hint="eastAsia" w:ascii="仿宋_GB2312" w:hAnsi="仿宋" w:eastAsia="仿宋_GB2312" w:cs="仿宋"/>
          <w:sz w:val="32"/>
          <w:szCs w:val="32"/>
        </w:rPr>
        <w:t xml:space="preserve"> 学院成立研究生学业奖学金评审委员会，由学院主要领导任主任委员，学院班子成员、研究生导师代表、研究生教学秘书、研究生辅导员和学生代表任委员，负责研究生学业奖学金评审等工作。评审委员会名单于评审前向全院公布。</w:t>
      </w:r>
    </w:p>
    <w:p w14:paraId="351A79EF">
      <w:pPr>
        <w:spacing w:line="360" w:lineRule="auto"/>
        <w:jc w:val="center"/>
        <w:rPr>
          <w:rFonts w:ascii="黑体" w:hAnsi="黑体" w:eastAsia="黑体" w:cs="仿宋"/>
          <w:sz w:val="32"/>
          <w:szCs w:val="32"/>
        </w:rPr>
      </w:pPr>
      <w:r>
        <w:rPr>
          <w:rFonts w:hint="eastAsia" w:ascii="黑体" w:hAnsi="黑体" w:eastAsia="黑体" w:cs="仿宋"/>
          <w:sz w:val="32"/>
          <w:szCs w:val="32"/>
        </w:rPr>
        <w:t>第五章  评选程序及要求</w:t>
      </w:r>
    </w:p>
    <w:p w14:paraId="5955A1B6">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第八条 </w:t>
      </w:r>
      <w:r>
        <w:rPr>
          <w:rFonts w:hint="eastAsia" w:ascii="仿宋_GB2312" w:hAnsi="仿宋" w:eastAsia="仿宋_GB2312" w:cs="仿宋"/>
          <w:sz w:val="32"/>
          <w:szCs w:val="32"/>
        </w:rPr>
        <w:t>研究生学业奖学金每年评审一次，基本原则是考核研究生的科研创新能力。学院根据学校名额分配情况，按照各专业可参评对象基数比例分配名额。</w:t>
      </w:r>
    </w:p>
    <w:p w14:paraId="5C372A45">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第九条 </w:t>
      </w:r>
      <w:r>
        <w:rPr>
          <w:rFonts w:hint="eastAsia" w:ascii="仿宋_GB2312" w:hAnsi="仿宋" w:eastAsia="仿宋_GB2312" w:cs="仿宋"/>
          <w:sz w:val="32"/>
          <w:szCs w:val="32"/>
        </w:rPr>
        <w:t>凡符合申请条件的研究生均可在规定时间内向学院研究生学业奖学金评审委员会提出书面申请。申请人应如实填写《研究生学业奖学金申请表》，同时提交学习成绩单并附所有成果及证明材料的复印件。</w:t>
      </w:r>
    </w:p>
    <w:p w14:paraId="5124BBAA">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第十条 </w:t>
      </w:r>
      <w:r>
        <w:rPr>
          <w:rFonts w:hint="eastAsia" w:ascii="仿宋_GB2312" w:hAnsi="仿宋" w:eastAsia="仿宋_GB2312" w:cs="仿宋"/>
          <w:sz w:val="32"/>
          <w:szCs w:val="32"/>
        </w:rPr>
        <w:t>学院相关系、教研室及专业教师、学工组和研究生教学秘书分别对申请学生科研成果、日常表现分、课程成绩进行初步审核，学院学业奖学金评审委员会</w:t>
      </w:r>
      <w:r>
        <w:rPr>
          <w:rFonts w:hint="eastAsia" w:ascii="仿宋_GB2312" w:hAnsi="仿宋" w:eastAsia="仿宋_GB2312"/>
          <w:sz w:val="32"/>
          <w:szCs w:val="32"/>
        </w:rPr>
        <w:t>负责进行评审，充分讨论后确定获奖学生名单及等级。</w:t>
      </w:r>
      <w:r>
        <w:rPr>
          <w:rFonts w:hint="eastAsia" w:ascii="仿宋_GB2312" w:hAnsi="仿宋" w:eastAsia="仿宋_GB2312" w:cs="仿宋"/>
          <w:sz w:val="32"/>
          <w:szCs w:val="32"/>
        </w:rPr>
        <w:t>在学院进行不少于3天的公示，公示结果无异议后，将</w:t>
      </w:r>
      <w:r>
        <w:rPr>
          <w:rFonts w:hint="eastAsia" w:ascii="仿宋_GB2312" w:hAnsi="仿宋" w:eastAsia="仿宋_GB2312"/>
          <w:sz w:val="32"/>
          <w:szCs w:val="32"/>
        </w:rPr>
        <w:t>学生申请表、名单汇总表上报</w:t>
      </w:r>
      <w:r>
        <w:rPr>
          <w:rFonts w:hint="eastAsia" w:ascii="仿宋_GB2312" w:hAnsi="仿宋" w:eastAsia="仿宋_GB2312" w:cs="仿宋"/>
          <w:sz w:val="32"/>
          <w:szCs w:val="32"/>
        </w:rPr>
        <w:t>学校研究生学业奖学金评审领导小组。</w:t>
      </w:r>
    </w:p>
    <w:p w14:paraId="7D95F86C">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 xml:space="preserve">第十一条 </w:t>
      </w:r>
      <w:r>
        <w:rPr>
          <w:rFonts w:hint="eastAsia" w:ascii="仿宋_GB2312" w:hAnsi="仿宋" w:eastAsia="仿宋_GB2312" w:cs="仿宋"/>
          <w:sz w:val="32"/>
          <w:szCs w:val="32"/>
        </w:rPr>
        <w:t>对研究生学业奖学金评审结果有异议的学生，可在学院公示阶段向学院评审委员会提出申诉，评审委员会应及时研究并予以答复。</w:t>
      </w:r>
    </w:p>
    <w:p w14:paraId="7D68524C">
      <w:pPr>
        <w:spacing w:line="360" w:lineRule="auto"/>
        <w:jc w:val="center"/>
        <w:rPr>
          <w:rFonts w:ascii="黑体" w:hAnsi="黑体" w:eastAsia="黑体" w:cs="仿宋"/>
          <w:sz w:val="32"/>
          <w:szCs w:val="32"/>
        </w:rPr>
      </w:pPr>
      <w:r>
        <w:rPr>
          <w:rFonts w:hint="eastAsia" w:ascii="黑体" w:hAnsi="黑体" w:eastAsia="黑体" w:cs="仿宋"/>
          <w:sz w:val="32"/>
          <w:szCs w:val="32"/>
        </w:rPr>
        <w:t>第六章  附  则</w:t>
      </w:r>
    </w:p>
    <w:p w14:paraId="262A329C">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第十二条</w:t>
      </w:r>
      <w:r>
        <w:rPr>
          <w:rFonts w:hint="eastAsia" w:ascii="仿宋_GB2312" w:hAnsi="仿宋" w:eastAsia="仿宋_GB2312" w:cs="仿宋"/>
          <w:sz w:val="32"/>
          <w:szCs w:val="32"/>
        </w:rPr>
        <w:t xml:space="preserve"> 如果学校有关于学业奖学金的新的规定与本规定相冲突，以学校规定为准。本细则自发文日起实施。《工程技术学院研究生学业奖学金评审工作实施细则》（中地大京工程院发〔202</w:t>
      </w:r>
      <w:r>
        <w:rPr>
          <w:rFonts w:ascii="仿宋_GB2312" w:hAnsi="仿宋" w:eastAsia="仿宋_GB2312" w:cs="仿宋"/>
          <w:sz w:val="32"/>
          <w:szCs w:val="32"/>
        </w:rPr>
        <w:t>1</w:t>
      </w:r>
      <w:r>
        <w:rPr>
          <w:rFonts w:hint="eastAsia" w:ascii="仿宋_GB2312" w:hAnsi="仿宋" w:eastAsia="仿宋_GB2312" w:cs="仿宋"/>
          <w:sz w:val="32"/>
          <w:szCs w:val="32"/>
        </w:rPr>
        <w:t>〕</w:t>
      </w:r>
      <w:r>
        <w:rPr>
          <w:rFonts w:ascii="仿宋_GB2312" w:hAnsi="仿宋" w:eastAsia="仿宋_GB2312" w:cs="仿宋"/>
          <w:sz w:val="32"/>
          <w:szCs w:val="32"/>
        </w:rPr>
        <w:t>12</w:t>
      </w:r>
      <w:r>
        <w:rPr>
          <w:rFonts w:hint="eastAsia" w:ascii="仿宋_GB2312" w:hAnsi="仿宋" w:eastAsia="仿宋_GB2312" w:cs="仿宋"/>
          <w:sz w:val="32"/>
          <w:szCs w:val="32"/>
        </w:rPr>
        <w:t>号、〔202</w:t>
      </w: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）同时废止。</w:t>
      </w:r>
    </w:p>
    <w:p w14:paraId="3BE44E08">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第十三条</w:t>
      </w:r>
      <w:r>
        <w:rPr>
          <w:rFonts w:hint="eastAsia" w:ascii="仿宋_GB2312" w:hAnsi="仿宋" w:eastAsia="仿宋_GB2312" w:cs="仿宋"/>
          <w:sz w:val="32"/>
          <w:szCs w:val="32"/>
        </w:rPr>
        <w:t xml:space="preserve"> 本细则适用于所有研究生，由工程技术学院党政办公室负责解释。</w:t>
      </w:r>
      <w:r>
        <w:rPr>
          <w:rFonts w:hint="eastAsia" w:ascii="仿宋_GB2312" w:hAnsi="仿宋" w:eastAsia="仿宋_GB2312" w:cs="仿宋"/>
          <w:sz w:val="32"/>
          <w:szCs w:val="32"/>
        </w:rPr>
        <w:br w:type="page"/>
      </w:r>
    </w:p>
    <w:p w14:paraId="40926E0F">
      <w:pPr>
        <w:spacing w:line="360" w:lineRule="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附件2：</w:t>
      </w:r>
    </w:p>
    <w:p w14:paraId="4C951788">
      <w:pPr>
        <w:spacing w:line="360" w:lineRule="auto"/>
        <w:jc w:val="center"/>
        <w:rPr>
          <w:rFonts w:ascii="华文中宋" w:hAnsi="华文中宋" w:eastAsia="华文中宋" w:cs="华文中宋"/>
          <w:b/>
          <w:color w:val="000000" w:themeColor="text1"/>
          <w:sz w:val="36"/>
          <w:szCs w:val="36"/>
          <w14:textFill>
            <w14:solidFill>
              <w14:schemeClr w14:val="tx1"/>
            </w14:solidFill>
          </w14:textFill>
        </w:rPr>
      </w:pPr>
      <w:r>
        <w:rPr>
          <w:rFonts w:hint="eastAsia" w:ascii="华文中宋" w:hAnsi="华文中宋" w:eastAsia="华文中宋" w:cs="华文中宋"/>
          <w:b/>
          <w:color w:val="000000" w:themeColor="text1"/>
          <w:sz w:val="36"/>
          <w:szCs w:val="36"/>
          <w14:textFill>
            <w14:solidFill>
              <w14:schemeClr w14:val="tx1"/>
            </w14:solidFill>
          </w14:textFill>
        </w:rPr>
        <w:t>工程技术学院研究生学业奖学金综合得分计算办法</w:t>
      </w:r>
    </w:p>
    <w:p w14:paraId="3F9EAFF3">
      <w:pPr>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研究生学业奖学金评比综合考虑科研成果、学术报告水平和日常表现三个方面，具体得分计算办法如下：</w:t>
      </w:r>
    </w:p>
    <w:p w14:paraId="45D0CE5A">
      <w:pPr>
        <w:spacing w:line="360" w:lineRule="auto"/>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一、科研成果分</w:t>
      </w:r>
    </w:p>
    <w:p w14:paraId="50728E24">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（1）根据每个学科分类中期刊的影响因子高低，将SCI/SSCI论文分为标志性期刊、A、B、C、D五个区，具体如下：</w:t>
      </w:r>
    </w:p>
    <w:p w14:paraId="55C3C94D">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标志性期刊：具体检索期刊参考研究生院最新版科研激励项目实施细则附件2（中国地质大学（北京）自然科学高水平学术成果标志性期刊目录）；</w:t>
      </w:r>
    </w:p>
    <w:p w14:paraId="530E8116">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A区：JCR（期刊引用报告）各学科分类中影响因子前10%（含10%）的期刊论文；</w:t>
      </w:r>
    </w:p>
    <w:p w14:paraId="6E7B1B55">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B区：JCR各学科分类中影响因子在10%-25%的期刊论文；</w:t>
      </w:r>
    </w:p>
    <w:p w14:paraId="03D46CC4">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C区：JCR各学科分类中影响因子在25%-50%的期刊论文；</w:t>
      </w:r>
    </w:p>
    <w:p w14:paraId="075D4970">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D区：JCR各学科分类中影响因子在50%以后的期刊论文及其它SCI/SSCI检索论文。</w:t>
      </w:r>
    </w:p>
    <w:p w14:paraId="1B548FBA">
      <w:pPr>
        <w:spacing w:line="360" w:lineRule="auto"/>
        <w:ind w:firstLine="643" w:firstLineChars="200"/>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每篇标志性期刊论文计30分，A区论文计25分，B区论文计20分，C区论文计15分，D区论文计10分。</w:t>
      </w:r>
    </w:p>
    <w:p w14:paraId="161A981B">
      <w:pPr>
        <w:spacing w:line="360" w:lineRule="auto"/>
        <w:ind w:firstLine="640" w:firstLineChars="200"/>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（2）国家级科技成果奖励证书持有者计25分；省部级科技成果奖励证书持有者计20分。</w:t>
      </w:r>
    </w:p>
    <w:p w14:paraId="154A0CDE">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（3）每项</w:t>
      </w:r>
      <w:r>
        <w:rPr>
          <w:rFonts w:hint="eastAsia" w:ascii="仿宋_GB2312" w:hAnsi="仿宋" w:eastAsia="仿宋_GB2312" w:cs="仿宋"/>
          <w:bCs/>
          <w:color w:val="000000" w:themeColor="text1"/>
          <w:sz w:val="32"/>
          <w:szCs w:val="32"/>
          <w14:textFill>
            <w14:solidFill>
              <w14:schemeClr w14:val="tx1"/>
            </w14:solidFill>
          </w14:textFill>
        </w:rPr>
        <w:t>国际机构授权发明专利计20分；每项</w:t>
      </w:r>
      <w:r>
        <w:rPr>
          <w:rFonts w:hint="eastAsia" w:ascii="仿宋_GB2312" w:hAnsi="仿宋" w:eastAsia="仿宋_GB2312" w:cs="仿宋"/>
          <w:color w:val="000000" w:themeColor="text1"/>
          <w:sz w:val="32"/>
          <w:szCs w:val="32"/>
          <w14:textFill>
            <w14:solidFill>
              <w14:schemeClr w14:val="tx1"/>
            </w14:solidFill>
          </w14:textFill>
        </w:rPr>
        <w:t>国家发明专利计10分。</w:t>
      </w:r>
    </w:p>
    <w:p w14:paraId="54DC57F2">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（4）每篇EI检索论文计7分。</w:t>
      </w:r>
    </w:p>
    <w:p w14:paraId="2426BAB4">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（5）每篇核心期刊论文或每项实用新型专利计3分。</w:t>
      </w:r>
    </w:p>
    <w:p w14:paraId="7CD5526B">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（6）每篇其他期刊论文计2分。</w:t>
      </w:r>
    </w:p>
    <w:p w14:paraId="1EC7DA92">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注：科技成果分数可累加。申请人必须为第一作者/第一发明人，且第一完成单位必须为中国地质大学（北京）。文章发表时间为攻读当前学位近一年时间（</w:t>
      </w:r>
      <w:r>
        <w:rPr>
          <w:rFonts w:hint="eastAsia" w:ascii="仿宋_GB2312" w:hAnsi="仿宋" w:eastAsia="仿宋_GB2312"/>
          <w:color w:val="000000" w:themeColor="text1"/>
          <w:sz w:val="32"/>
          <w:szCs w:val="32"/>
          <w14:textFill>
            <w14:solidFill>
              <w14:schemeClr w14:val="tx1"/>
            </w14:solidFill>
          </w14:textFill>
        </w:rPr>
        <w:t>即自上一年度9月1日至当年8月31日，</w:t>
      </w:r>
      <w:r>
        <w:rPr>
          <w:rFonts w:hint="eastAsia" w:ascii="仿宋_GB2312" w:hAnsi="仿宋" w:eastAsia="仿宋_GB2312"/>
          <w:sz w:val="32"/>
          <w:szCs w:val="32"/>
        </w:rPr>
        <w:t>硕士研究生</w:t>
      </w:r>
      <w:r>
        <w:rPr>
          <w:rFonts w:hint="eastAsia" w:ascii="仿宋_GB2312" w:hAnsi="仿宋" w:eastAsia="仿宋_GB2312"/>
          <w:color w:val="000000" w:themeColor="text1"/>
          <w:sz w:val="32"/>
          <w:szCs w:val="32"/>
          <w14:textFill>
            <w14:solidFill>
              <w14:schemeClr w14:val="tx1"/>
            </w14:solidFill>
          </w14:textFill>
        </w:rPr>
        <w:t>毕业生成果认定时间为</w:t>
      </w:r>
      <w:r>
        <w:rPr>
          <w:rFonts w:hint="eastAsia" w:ascii="仿宋_GB2312" w:hAnsi="仿宋" w:eastAsia="仿宋_GB2312"/>
          <w:color w:val="000000" w:themeColor="text1"/>
          <w:sz w:val="32"/>
          <w:szCs w:val="32"/>
          <w:highlight w:val="none"/>
          <w14:textFill>
            <w14:solidFill>
              <w14:schemeClr w14:val="tx1"/>
            </w14:solidFill>
          </w14:textFill>
        </w:rPr>
        <w:t>入学时间至当年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学院评奖通知发布日</w:t>
      </w:r>
      <w:r>
        <w:rPr>
          <w:rFonts w:hint="eastAsia" w:ascii="仿宋_GB2312" w:hAnsi="仿宋" w:eastAsia="仿宋_GB2312" w:cs="仿宋"/>
          <w:color w:val="000000" w:themeColor="text1"/>
          <w:sz w:val="32"/>
          <w:szCs w:val="32"/>
          <w14:textFill>
            <w14:solidFill>
              <w14:schemeClr w14:val="tx1"/>
            </w14:solidFill>
          </w14:textFill>
        </w:rPr>
        <w:t>）。SCI论文以Online时间为准，其他期刊论文以刊出时间为准。国家发明专利和实用新型专利以证书为准。本年度被中科院预警期刊文章不计入加分。</w:t>
      </w:r>
    </w:p>
    <w:p w14:paraId="7418C4B7">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“核心期刊”以北京大学中文核心期刊要目或中国科学引文数据库(CSCD)为准，</w:t>
      </w:r>
      <w:r>
        <w:rPr>
          <w:rFonts w:hint="eastAsia" w:ascii="仿宋_GB2312" w:hAnsi="仿宋" w:eastAsia="仿宋_GB2312" w:cs="仿宋"/>
          <w:sz w:val="32"/>
          <w:szCs w:val="32"/>
        </w:rPr>
        <w:t>“其他期刊”以知网CNKI检索为准</w:t>
      </w:r>
      <w:r>
        <w:rPr>
          <w:rFonts w:hint="eastAsia" w:ascii="仿宋_GB2312" w:hAnsi="仿宋" w:eastAsia="仿宋_GB2312" w:cs="仿宋"/>
          <w:color w:val="000000" w:themeColor="text1"/>
          <w:sz w:val="32"/>
          <w:szCs w:val="32"/>
          <w14:textFill>
            <w14:solidFill>
              <w14:schemeClr w14:val="tx1"/>
            </w14:solidFill>
          </w14:textFill>
        </w:rPr>
        <w:t>。发表在中文核心期刊增刊和EI期刊增刊的论文以CSCD或EI检索证明为准。其他期刊论文不包括国内国际会议论文集、摘要文集中的论文摘要、学术期刊中的插页短文、短评或报道、《中国科技论文在线》的学术论文。</w:t>
      </w:r>
    </w:p>
    <w:p w14:paraId="753F8ABA">
      <w:pPr>
        <w:spacing w:line="360" w:lineRule="auto"/>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二、学术报告分</w:t>
      </w:r>
    </w:p>
    <w:p w14:paraId="21B9F14A">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学术报告为硕士三年级研究生必修环节，分数为百分制，各专业需提供学生学术报告初始得分。</w:t>
      </w:r>
    </w:p>
    <w:p w14:paraId="756A7720">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学术报告分=初始得分*0.3。</w:t>
      </w:r>
    </w:p>
    <w:p w14:paraId="1068FF43">
      <w:pPr>
        <w:spacing w:line="360" w:lineRule="auto"/>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三、日常表现分</w:t>
      </w:r>
    </w:p>
    <w:p w14:paraId="271571E7">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（1）硕士三年级研究生开题报告评为优秀，加1分。</w:t>
      </w:r>
    </w:p>
    <w:p w14:paraId="7CBF661C">
      <w:pPr>
        <w:spacing w:line="360" w:lineRule="auto"/>
        <w:ind w:firstLine="640" w:firstLineChars="200"/>
        <w:rPr>
          <w:rFonts w:hint="eastAsia" w:ascii="仿宋_GB2312" w:hAnsi="仿宋" w:eastAsia="仿宋_GB2312" w:cs="仿宋"/>
          <w:color w:val="000000" w:themeColor="text1"/>
          <w:sz w:val="32"/>
          <w:szCs w:val="32"/>
          <w:highlight w:val="yellow"/>
          <w:lang w:val="en-US"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highlight w:val="none"/>
          <w14:textFill>
            <w14:solidFill>
              <w14:schemeClr w14:val="tx1"/>
            </w14:solidFill>
          </w14:textFill>
        </w:rPr>
        <w:t>担任</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一类学生骨干</w:t>
      </w:r>
      <w:r>
        <w:rPr>
          <w:rFonts w:hint="eastAsia" w:ascii="仿宋_GB2312" w:hAnsi="仿宋" w:eastAsia="仿宋_GB2312" w:cs="仿宋"/>
          <w:color w:val="000000" w:themeColor="text1"/>
          <w:sz w:val="32"/>
          <w:szCs w:val="32"/>
          <w:highlight w:val="none"/>
          <w14:textFill>
            <w14:solidFill>
              <w14:schemeClr w14:val="tx1"/>
            </w14:solidFill>
          </w14:textFill>
        </w:rPr>
        <w:t>计2分，担任</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二类学生骨干、</w:t>
      </w:r>
      <w:r>
        <w:rPr>
          <w:rFonts w:hint="eastAsia" w:ascii="仿宋_GB2312" w:hAnsi="仿宋" w:eastAsia="仿宋_GB2312" w:cs="仿宋"/>
          <w:color w:val="000000" w:themeColor="text1"/>
          <w:sz w:val="32"/>
          <w:szCs w:val="32"/>
          <w:highlight w:val="none"/>
          <w14:textFill>
            <w14:solidFill>
              <w14:schemeClr w14:val="tx1"/>
            </w14:solidFill>
          </w14:textFill>
        </w:rPr>
        <w:t>班长、党（团）支部书记计1分、班级委员</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党支部委员</w:t>
      </w:r>
      <w:r>
        <w:rPr>
          <w:rFonts w:hint="eastAsia" w:ascii="仿宋_GB2312" w:hAnsi="仿宋" w:eastAsia="仿宋_GB2312" w:cs="仿宋"/>
          <w:color w:val="000000" w:themeColor="text1"/>
          <w:sz w:val="32"/>
          <w:szCs w:val="32"/>
          <w:highlight w:val="none"/>
          <w14:textFill>
            <w14:solidFill>
              <w14:schemeClr w14:val="tx1"/>
            </w14:solidFill>
          </w14:textFill>
        </w:rPr>
        <w:t>计0.5分，任职需满一年（提供学院或相关负责人出具的证明）。</w:t>
      </w:r>
    </w:p>
    <w:p w14:paraId="55BD2D0B">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（3）科研类（数学建模、机器人大赛等）竞赛获得国家级奖励计3分，省部级奖励计2分，校级奖励计1分（团体获奖分由项目组协商分配，个人最多加50%分数，最低10%分数）。</w:t>
      </w:r>
    </w:p>
    <w:p w14:paraId="5575D5FD">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（4）文化体育竞赛类获得国家级奖励计3分，获得省部级奖励计2分，校级奖励计1分，院级奖励计0.5分（团体获奖分由项目组协商分配，个人最多加50%分数，最低10%分数）。</w:t>
      </w:r>
    </w:p>
    <w:p w14:paraId="249F2055">
      <w:pPr>
        <w:spacing w:line="360" w:lineRule="auto"/>
        <w:ind w:firstLine="640" w:firstLineChars="200"/>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5）出国参加国际会议，并作报告计4分，获奖再加2分（以邀请信、证书、导师签字确认为准）；在国内参加国际或全国学术会议，并作报告计2分，获奖再加1分（以邀请信、证书、导师签字确认为准）；在校级研究生学术论坛上作报告计1分，获奖再加0.5分；在院级研究生学术论坛上作报告并获奖计1分；作为邀请评委参加学院组织“探工求索”学术活动1次计1分（以学生组认定为准）。</w:t>
      </w:r>
    </w:p>
    <w:p w14:paraId="07A8130E">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（6）担任兼职辅导员计2分,任职需满一年，担任各类助管计0.5分，任职需满一年（不含寒暑假）。</w:t>
      </w:r>
    </w:p>
    <w:p w14:paraId="55EFC013">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注：日常表现单项分数可累加，但单项内以最高分计算。以上日常表现所指时间为攻读当前学位近一年时间（即自上一年度9月1日至当年8月31日）。</w:t>
      </w:r>
    </w:p>
    <w:p w14:paraId="69A87762">
      <w:pPr>
        <w:spacing w:line="360" w:lineRule="auto"/>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四、综合得分</w:t>
      </w:r>
    </w:p>
    <w:p w14:paraId="774F471B">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硕士二年级研究生综合得分=学位课程成绩加权平均分+科研成果分+日常表现分，其中科研成果分和日常表现分的累计加分上限为1</w:t>
      </w:r>
      <w:r>
        <w:rPr>
          <w:rFonts w:ascii="仿宋_GB2312" w:hAnsi="仿宋" w:eastAsia="仿宋_GB2312" w:cs="仿宋"/>
          <w:color w:val="000000" w:themeColor="text1"/>
          <w:sz w:val="32"/>
          <w:szCs w:val="32"/>
          <w14:textFill>
            <w14:solidFill>
              <w14:schemeClr w14:val="tx1"/>
            </w14:solidFill>
          </w14:textFill>
        </w:rPr>
        <w:t>0</w:t>
      </w:r>
      <w:r>
        <w:rPr>
          <w:rFonts w:hint="eastAsia" w:ascii="仿宋_GB2312" w:hAnsi="仿宋" w:eastAsia="仿宋_GB2312" w:cs="仿宋"/>
          <w:color w:val="000000" w:themeColor="text1"/>
          <w:sz w:val="32"/>
          <w:szCs w:val="32"/>
          <w14:textFill>
            <w14:solidFill>
              <w14:schemeClr w14:val="tx1"/>
            </w14:solidFill>
          </w14:textFill>
        </w:rPr>
        <w:t>分，学位课英语免修成绩按9</w:t>
      </w:r>
      <w:r>
        <w:rPr>
          <w:rFonts w:ascii="仿宋_GB2312" w:hAnsi="仿宋" w:eastAsia="仿宋_GB2312" w:cs="仿宋"/>
          <w:color w:val="000000" w:themeColor="text1"/>
          <w:sz w:val="32"/>
          <w:szCs w:val="32"/>
          <w14:textFill>
            <w14:solidFill>
              <w14:schemeClr w14:val="tx1"/>
            </w14:solidFill>
          </w14:textFill>
        </w:rPr>
        <w:t>0</w:t>
      </w:r>
      <w:r>
        <w:rPr>
          <w:rFonts w:hint="eastAsia" w:ascii="仿宋_GB2312" w:hAnsi="仿宋" w:eastAsia="仿宋_GB2312" w:cs="仿宋"/>
          <w:color w:val="000000" w:themeColor="text1"/>
          <w:sz w:val="32"/>
          <w:szCs w:val="32"/>
          <w14:textFill>
            <w14:solidFill>
              <w14:schemeClr w14:val="tx1"/>
            </w14:solidFill>
          </w14:textFill>
        </w:rPr>
        <w:t>分计算。</w:t>
      </w:r>
    </w:p>
    <w:p w14:paraId="23B6769A">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硕士三年级研究生综合得分=学术报告分+科研成果分+日常表现分。</w:t>
      </w:r>
    </w:p>
    <w:p w14:paraId="2E9C8F47">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博士研究生综合得分=科研成果分+日常表现分。</w:t>
      </w:r>
    </w:p>
    <w:p w14:paraId="473155F5">
      <w:pPr>
        <w:adjustRightInd/>
        <w:snapToGrid/>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sz w:val="32"/>
          <w:szCs w:val="32"/>
        </w:rPr>
        <w:t>注：</w:t>
      </w:r>
      <w:r>
        <w:rPr>
          <w:rFonts w:hint="eastAsia" w:ascii="仿宋_GB2312" w:hAnsi="仿宋" w:eastAsia="仿宋_GB2312" w:cs="仿宋"/>
          <w:color w:val="000000" w:themeColor="text1"/>
          <w:sz w:val="32"/>
          <w:szCs w:val="32"/>
          <w14:textFill>
            <w14:solidFill>
              <w14:schemeClr w14:val="tx1"/>
            </w14:solidFill>
          </w14:textFill>
        </w:rPr>
        <w:t>同学科内综合得分相同者（精确到小数点后3位数字），二年级按科研成果分、学术报告分、日常表现分、学位课成绩、选修课成绩为顺序依次进行单项评比，直至分出先后顺序；三年级及以上年级按科研成果分、学术报告分、日常表现分、非学位课成绩为顺序依次进行单项评比，直至分出先后顺序；如单项评比后仍同分，由评审委员会评审裁定。</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307054"/>
    </w:sdtPr>
    <w:sdtEndPr>
      <w:rPr>
        <w:rFonts w:ascii="Times New Roman" w:hAnsi="Times New Roman" w:cs="Times New Roman"/>
      </w:rPr>
    </w:sdtEndPr>
    <w:sdtContent>
      <w:p w14:paraId="702738CF">
        <w:pPr>
          <w:pStyle w:val="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2BBB5F4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jk2Yjk4NGFmZDkxNGZiYTY4M2Q2MmQ5ODU3ODcifQ=="/>
  </w:docVars>
  <w:rsids>
    <w:rsidRoot w:val="07CA4362"/>
    <w:rsid w:val="000012D3"/>
    <w:rsid w:val="000071BA"/>
    <w:rsid w:val="00034BD4"/>
    <w:rsid w:val="000350C5"/>
    <w:rsid w:val="000A4697"/>
    <w:rsid w:val="000D107D"/>
    <w:rsid w:val="000E27D8"/>
    <w:rsid w:val="00127242"/>
    <w:rsid w:val="0016131F"/>
    <w:rsid w:val="001958FF"/>
    <w:rsid w:val="001B5018"/>
    <w:rsid w:val="001E3680"/>
    <w:rsid w:val="002054A4"/>
    <w:rsid w:val="00244E35"/>
    <w:rsid w:val="00291760"/>
    <w:rsid w:val="002A3E9F"/>
    <w:rsid w:val="002C7EB0"/>
    <w:rsid w:val="002D1A21"/>
    <w:rsid w:val="002E51DB"/>
    <w:rsid w:val="00313241"/>
    <w:rsid w:val="003164BB"/>
    <w:rsid w:val="003B1E80"/>
    <w:rsid w:val="003B68D6"/>
    <w:rsid w:val="003B7116"/>
    <w:rsid w:val="003E47AE"/>
    <w:rsid w:val="00412EDE"/>
    <w:rsid w:val="00425D61"/>
    <w:rsid w:val="004362DB"/>
    <w:rsid w:val="0046661F"/>
    <w:rsid w:val="004954FF"/>
    <w:rsid w:val="004B429A"/>
    <w:rsid w:val="004D48A7"/>
    <w:rsid w:val="004D580E"/>
    <w:rsid w:val="004F53AB"/>
    <w:rsid w:val="005158CB"/>
    <w:rsid w:val="0053634F"/>
    <w:rsid w:val="00563253"/>
    <w:rsid w:val="0059095D"/>
    <w:rsid w:val="00606955"/>
    <w:rsid w:val="006233F8"/>
    <w:rsid w:val="0063676B"/>
    <w:rsid w:val="00653921"/>
    <w:rsid w:val="00681630"/>
    <w:rsid w:val="006A3691"/>
    <w:rsid w:val="006C3814"/>
    <w:rsid w:val="006D51C6"/>
    <w:rsid w:val="00704C3B"/>
    <w:rsid w:val="00742694"/>
    <w:rsid w:val="00796557"/>
    <w:rsid w:val="00796563"/>
    <w:rsid w:val="007B15F4"/>
    <w:rsid w:val="007B26E7"/>
    <w:rsid w:val="007C2310"/>
    <w:rsid w:val="008115AF"/>
    <w:rsid w:val="0081461B"/>
    <w:rsid w:val="0082586A"/>
    <w:rsid w:val="00833EA8"/>
    <w:rsid w:val="00847422"/>
    <w:rsid w:val="0085782A"/>
    <w:rsid w:val="00877BB4"/>
    <w:rsid w:val="008869B3"/>
    <w:rsid w:val="008A0069"/>
    <w:rsid w:val="00913E37"/>
    <w:rsid w:val="009C4A07"/>
    <w:rsid w:val="009C50D1"/>
    <w:rsid w:val="009C7B6A"/>
    <w:rsid w:val="009C7C38"/>
    <w:rsid w:val="00A128CE"/>
    <w:rsid w:val="00A35159"/>
    <w:rsid w:val="00AB342C"/>
    <w:rsid w:val="00AC241C"/>
    <w:rsid w:val="00AC7927"/>
    <w:rsid w:val="00AF6F1D"/>
    <w:rsid w:val="00B03423"/>
    <w:rsid w:val="00B603D2"/>
    <w:rsid w:val="00C10ECA"/>
    <w:rsid w:val="00C15A29"/>
    <w:rsid w:val="00C23803"/>
    <w:rsid w:val="00C254AE"/>
    <w:rsid w:val="00C47D69"/>
    <w:rsid w:val="00C5483F"/>
    <w:rsid w:val="00C712D0"/>
    <w:rsid w:val="00CA60C6"/>
    <w:rsid w:val="00CC6E39"/>
    <w:rsid w:val="00CD0929"/>
    <w:rsid w:val="00CF69AE"/>
    <w:rsid w:val="00D03B76"/>
    <w:rsid w:val="00D21030"/>
    <w:rsid w:val="00D24BD0"/>
    <w:rsid w:val="00D30A53"/>
    <w:rsid w:val="00D45BBF"/>
    <w:rsid w:val="00D74955"/>
    <w:rsid w:val="00D97722"/>
    <w:rsid w:val="00DE3BCB"/>
    <w:rsid w:val="00DE3C71"/>
    <w:rsid w:val="00E07C3E"/>
    <w:rsid w:val="00E21485"/>
    <w:rsid w:val="00E70D8E"/>
    <w:rsid w:val="00EE3ABE"/>
    <w:rsid w:val="00EE7B1B"/>
    <w:rsid w:val="00F017D3"/>
    <w:rsid w:val="00F1265C"/>
    <w:rsid w:val="00F82DDD"/>
    <w:rsid w:val="00FD1FA4"/>
    <w:rsid w:val="036E6E0A"/>
    <w:rsid w:val="05FD48BE"/>
    <w:rsid w:val="06FD269B"/>
    <w:rsid w:val="07CA4362"/>
    <w:rsid w:val="0B492353"/>
    <w:rsid w:val="0BCD4D32"/>
    <w:rsid w:val="0CBD4DA7"/>
    <w:rsid w:val="122E4051"/>
    <w:rsid w:val="14531B4D"/>
    <w:rsid w:val="194E7068"/>
    <w:rsid w:val="1A32005D"/>
    <w:rsid w:val="1CF40660"/>
    <w:rsid w:val="1DD3119B"/>
    <w:rsid w:val="214178FD"/>
    <w:rsid w:val="25706ACC"/>
    <w:rsid w:val="267A385F"/>
    <w:rsid w:val="26CE2E2D"/>
    <w:rsid w:val="35CF507F"/>
    <w:rsid w:val="38AA0FDB"/>
    <w:rsid w:val="4C872A0D"/>
    <w:rsid w:val="52137536"/>
    <w:rsid w:val="540D570B"/>
    <w:rsid w:val="569F3650"/>
    <w:rsid w:val="593F3679"/>
    <w:rsid w:val="5BC8038A"/>
    <w:rsid w:val="5D906548"/>
    <w:rsid w:val="60A357A3"/>
    <w:rsid w:val="63733623"/>
    <w:rsid w:val="65B318FD"/>
    <w:rsid w:val="682A1D7F"/>
    <w:rsid w:val="6E447EB8"/>
    <w:rsid w:val="6F6C705A"/>
    <w:rsid w:val="78082561"/>
    <w:rsid w:val="7959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heme="minorHAnsi" w:hAnsiTheme="minorHAnsi" w:eastAsiaTheme="minorEastAsia" w:cstheme="minorBidi"/>
      <w:kern w:val="2"/>
      <w:sz w:val="28"/>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640" w:lineRule="atLeast"/>
    </w:pPr>
    <w:rPr>
      <w:rFonts w:eastAsia="仿宋_GB2312"/>
      <w:sz w:val="32"/>
    </w:rPr>
  </w:style>
  <w:style w:type="paragraph" w:styleId="3">
    <w:name w:val="Balloon Text"/>
    <w:basedOn w:val="1"/>
    <w:link w:val="11"/>
    <w:qFormat/>
    <w:uiPriority w:val="0"/>
    <w:pPr>
      <w:spacing w:line="240" w:lineRule="auto"/>
    </w:pPr>
    <w:rPr>
      <w:sz w:val="18"/>
      <w:szCs w:val="18"/>
    </w:rPr>
  </w:style>
  <w:style w:type="paragraph" w:styleId="4">
    <w:name w:val="footer"/>
    <w:basedOn w:val="1"/>
    <w:link w:val="9"/>
    <w:qFormat/>
    <w:uiPriority w:val="99"/>
    <w:pPr>
      <w:tabs>
        <w:tab w:val="center" w:pos="4153"/>
        <w:tab w:val="right" w:pos="8306"/>
        <w:tab w:val="clear" w:pos="0"/>
      </w:tabs>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 w:val="clear" w:pos="0"/>
      </w:tabs>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99"/>
    <w:rPr>
      <w:kern w:val="2"/>
      <w:sz w:val="18"/>
      <w:szCs w:val="18"/>
    </w:rPr>
  </w:style>
  <w:style w:type="character" w:customStyle="1" w:styleId="10">
    <w:name w:val="正文文本 字符"/>
    <w:basedOn w:val="7"/>
    <w:link w:val="2"/>
    <w:qFormat/>
    <w:uiPriority w:val="0"/>
    <w:rPr>
      <w:rFonts w:eastAsia="仿宋_GB2312"/>
      <w:kern w:val="2"/>
      <w:sz w:val="32"/>
      <w:szCs w:val="24"/>
    </w:rPr>
  </w:style>
  <w:style w:type="character" w:customStyle="1" w:styleId="11">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3767</Words>
  <Characters>4016</Characters>
  <Lines>31</Lines>
  <Paragraphs>8</Paragraphs>
  <TotalTime>1</TotalTime>
  <ScaleCrop>false</ScaleCrop>
  <LinksUpToDate>false</LinksUpToDate>
  <CharactersWithSpaces>4049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2023-10-09T05:13:00Z</dcterms:created>
  <dc:creator>zengyong</dc:creator>
  <cp:lastModifiedBy>璐</cp:lastModifiedBy>
  <cp:lastPrinted>2022-06-22T07:39:00Z</cp:lastPrinted>
  <dcterms:modified xsi:type="dcterms:W3CDTF">2025-09-29T09:46:54Z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A2590B6402E34E87B654C1F3199C7EF6_13</vt:lpwstr>
  </property>
  <property fmtid="{D5CDD505-2E9C-101B-9397-08002B2CF9AE}" pid="4" name="KSOTemplateDocerSaveRecord">
    <vt:lpwstr>eyJoZGlkIjoiZDNlZjNhMTQ2ODI2NDlmMDUxMDQyYTAxOGM3YjIwNmQiLCJ1c2VySWQiOiI4ODA4NTM3MDkifQ==</vt:lpwstr>
  </property>
</Properties>
</file>